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sz w:val="44"/>
          <w:szCs w:val="44"/>
        </w:rPr>
      </w:pPr>
    </w:p>
    <w:p>
      <w:pPr>
        <w:spacing w:line="584" w:lineRule="exact"/>
        <w:ind w:firstLine="880" w:firstLineChars="200"/>
        <w:jc w:val="center"/>
        <w:rPr>
          <w:rFonts w:ascii="宋体"/>
          <w:sz w:val="44"/>
          <w:szCs w:val="44"/>
        </w:rPr>
      </w:pPr>
      <w:r>
        <w:rPr>
          <w:rFonts w:hint="eastAsia" w:ascii="宋体" w:hAnsi="宋体"/>
          <w:sz w:val="44"/>
          <w:szCs w:val="44"/>
        </w:rPr>
        <w:t>廊坊市文安县新镇镇人民政府</w:t>
      </w:r>
      <w:r>
        <w:rPr>
          <w:rFonts w:ascii="宋体" w:hAnsi="宋体"/>
          <w:sz w:val="44"/>
          <w:szCs w:val="44"/>
        </w:rPr>
        <w:t>2020</w:t>
      </w:r>
      <w:r>
        <w:rPr>
          <w:rFonts w:hint="eastAsia" w:ascii="宋体" w:hAnsi="宋体"/>
          <w:sz w:val="44"/>
          <w:szCs w:val="44"/>
        </w:rPr>
        <w:t>年部门预算信息公开情况说明</w:t>
      </w:r>
    </w:p>
    <w:p>
      <w:pPr>
        <w:spacing w:line="584" w:lineRule="exact"/>
        <w:ind w:firstLine="880" w:firstLineChars="200"/>
        <w:jc w:val="center"/>
        <w:rPr>
          <w:rFonts w:ascii="Times New Roman" w:hAnsi="Times New Roman" w:eastAsia="仿宋_GB2312"/>
          <w:sz w:val="44"/>
          <w:szCs w:val="44"/>
        </w:rPr>
      </w:pP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按照《预算法》、《地方预决算公开操作规程》和《河北省省级预算公开办法》规定，现将廊坊市文安县新镇镇人民政府</w:t>
      </w:r>
      <w:r>
        <w:rPr>
          <w:rFonts w:ascii="Times New Roman" w:hAnsi="Times New Roman" w:eastAsia="仿宋_GB2312"/>
          <w:sz w:val="32"/>
          <w:szCs w:val="32"/>
        </w:rPr>
        <w:t>2020</w:t>
      </w:r>
      <w:r>
        <w:rPr>
          <w:rFonts w:hint="eastAsia" w:ascii="Times New Roman" w:hAnsi="Times New Roman" w:eastAsia="仿宋_GB2312"/>
          <w:sz w:val="32"/>
          <w:szCs w:val="32"/>
        </w:rPr>
        <w:t>年部门预算公开如下：</w:t>
      </w:r>
    </w:p>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一、部门职责及机构设置情况</w:t>
      </w:r>
    </w:p>
    <w:p>
      <w:pPr>
        <w:spacing w:line="584"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部门职责：</w:t>
      </w:r>
    </w:p>
    <w:p>
      <w:pPr>
        <w:spacing w:line="500" w:lineRule="exact"/>
        <w:ind w:firstLine="280" w:firstLineChars="100"/>
        <w:jc w:val="left"/>
        <w:rPr>
          <w:rFonts w:ascii="Times New Roman" w:eastAsia="方正仿宋_GBK"/>
          <w:sz w:val="28"/>
        </w:rPr>
      </w:pPr>
      <w:r>
        <w:rPr>
          <w:rFonts w:ascii="Times New Roman" w:eastAsia="方正仿宋_GBK"/>
          <w:sz w:val="28"/>
        </w:rPr>
        <w:t xml:space="preserve"> </w:t>
      </w:r>
      <w:r>
        <w:rPr>
          <w:rFonts w:hint="eastAsia" w:ascii="Times New Roman" w:eastAsia="方正仿宋_GBK"/>
          <w:sz w:val="28"/>
        </w:rPr>
        <w:t>一、人大和社会监督方面。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监督宪法和法律在我镇行政区域内正确实施，监督本级预算按照人代会通过的预算有效实施。在人大代表和镇人大常委充分发表审议意见的基础上，作出我镇经济社会发展计划、总预算和本级预算等决议。高效、精细的筹备县人大会。保障镇大型会议、重大活动的正常、顺利举办。</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二、政府工作运转方面。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保障机关公文正常运转保持线路畅通，服务对象满意。农村路网全覆盖完善城乡社会救助制度，实施分类救助，应保尽保</w:t>
      </w:r>
      <w:r>
        <w:rPr>
          <w:rFonts w:ascii="Times New Roman" w:eastAsia="方正仿宋_GBK"/>
          <w:sz w:val="28"/>
        </w:rPr>
        <w:t>,</w:t>
      </w:r>
      <w:r>
        <w:rPr>
          <w:rFonts w:hint="eastAsia" w:ascii="Times New Roman" w:eastAsia="方正仿宋_GBK"/>
          <w:sz w:val="28"/>
        </w:rPr>
        <w:t>动态管理。</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三、民政和社会服务方面。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解决优抚对象的生活、医疗困难，推行阳光安置，保障退役士兵合法权益；按时足额发放各类经济补助。</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四、农业管理方面。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提高农产品产量和产量，优化农业产业结构，提高经济效益，增加农民收入加强城乡规划管理，协调城乡空间布局，改善人居环境，促进城乡经济社会全面协调可持续发展。</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五、群众文化方面。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文化发展环境健康向上，文化发展能力不断增强，文化艺术资源丰富，公共文化服务和文化艺术生产水平不断提高，促进文化影响力日益扩大。</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六、医疗卫生和计划生育服务方面。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稳定适度的低生育水平，有效保障计划生育家庭生活水平，提高妇女生殖健康水平，降低出生缺陷的发生，有效遏制出生人口性别比偏高问题。</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七、社会团体方面。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围绕青年思想动态和青年工作现状，不断加强青少年社会主义核心价值观教育，加强青年统战工作，围绕党政中心工作开展各项活动。把广大妇女紧密团结在党中央周围，围绕中央、镇政府中心工作。</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八、财经管理方面。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加强对专项资金的监管，提高财政资金使用效率。管理各类政策性补贴等资金，建立惠农资金补助对象管理新机制，完善财政补贴资金</w:t>
      </w:r>
      <w:r>
        <w:rPr>
          <w:rFonts w:ascii="Times New Roman" w:eastAsia="方正仿宋_GBK"/>
          <w:sz w:val="28"/>
        </w:rPr>
        <w:t>“</w:t>
      </w:r>
      <w:r>
        <w:rPr>
          <w:rFonts w:hint="eastAsia" w:ascii="Times New Roman" w:eastAsia="方正仿宋_GBK"/>
          <w:sz w:val="28"/>
        </w:rPr>
        <w:t>一卡通</w:t>
      </w:r>
      <w:r>
        <w:rPr>
          <w:rFonts w:ascii="Times New Roman" w:eastAsia="方正仿宋_GBK"/>
          <w:sz w:val="28"/>
        </w:rPr>
        <w:t>”</w:t>
      </w:r>
      <w:r>
        <w:rPr>
          <w:rFonts w:hint="eastAsia" w:ascii="Times New Roman" w:eastAsia="方正仿宋_GBK"/>
          <w:sz w:val="28"/>
        </w:rPr>
        <w:t>发放机制。</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九、社会服务和劳动保障方面。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负责辖区内各类社会保险经办服务工作和社会保险信息采集及档案管理工作；做好对享受社会保险待遇人员的日常资格认证工作；负责辖区内用人单位劳动力市场价位、企业薪酬调查和用工备案信息搜集和初审工作。</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十、大气污染防治方面。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坚持将污染防治作为最大的民生工程来抓，既要金山银山，更要绿水青山。以更大的力度抓好塑料行业整治。加强日常性和突击性检查，严格按要求加强安全生产、废弃排放整治，凡整改不到位、手续不全的一律关停取缔。加大自查力度，全面摸排全镇范围内突出环境问题情况，发现一起治理一起，坚决以</w:t>
      </w:r>
      <w:r>
        <w:rPr>
          <w:rFonts w:ascii="Times New Roman" w:eastAsia="方正仿宋_GBK"/>
          <w:sz w:val="28"/>
        </w:rPr>
        <w:t>“</w:t>
      </w:r>
      <w:r>
        <w:rPr>
          <w:rFonts w:hint="eastAsia" w:ascii="Times New Roman" w:eastAsia="方正仿宋_GBK"/>
          <w:sz w:val="28"/>
        </w:rPr>
        <w:t>猛药去疴</w:t>
      </w:r>
      <w:r>
        <w:rPr>
          <w:rFonts w:ascii="Times New Roman" w:eastAsia="方正仿宋_GBK"/>
          <w:sz w:val="28"/>
        </w:rPr>
        <w:t>”</w:t>
      </w:r>
      <w:r>
        <w:rPr>
          <w:rFonts w:hint="eastAsia" w:ascii="Times New Roman" w:eastAsia="方正仿宋_GBK"/>
          <w:sz w:val="28"/>
        </w:rPr>
        <w:t>的决心，守住镇内绿水青山。</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十一、农村环境整治</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为百姓谋福利，真正为群众办实事宗旨，通过组织大型设备和人员集中对辖区内主干道两侧及坑塘进行清理，改善街道的整体环境，为村民提升环境居住舒适度，使群众满意度幸福指数提高。</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sectPr>
          <w:footerReference r:id="rId3" w:type="default"/>
          <w:pgSz w:w="11907" w:h="16839"/>
          <w:pgMar w:top="1531" w:right="1134" w:bottom="1474" w:left="1134" w:header="851" w:footer="992" w:gutter="0"/>
          <w:pgNumType w:fmt="numberInDash" w:start="1"/>
          <w:cols w:space="425" w:num="1"/>
          <w:docGrid w:type="lines" w:linePitch="312" w:charSpace="0"/>
        </w:sectPr>
      </w:pPr>
    </w:p>
    <w:p>
      <w:pPr>
        <w:spacing w:line="584" w:lineRule="exact"/>
        <w:ind w:firstLine="660"/>
        <w:rPr>
          <w:rFonts w:ascii="Times New Roman" w:hAnsi="Times New Roman" w:eastAsia="仿宋_GB2312"/>
          <w:sz w:val="32"/>
          <w:szCs w:val="32"/>
        </w:rPr>
      </w:pPr>
    </w:p>
    <w:p>
      <w:pPr>
        <w:autoSpaceDE w:val="0"/>
        <w:autoSpaceDN w:val="0"/>
        <w:adjustRightInd w:val="0"/>
        <w:spacing w:line="584" w:lineRule="exact"/>
        <w:ind w:firstLine="630" w:firstLineChars="196"/>
        <w:jc w:val="left"/>
        <w:rPr>
          <w:rFonts w:ascii="Times New Roman" w:hAnsi="Times New Roman" w:eastAsia="楷体_GB2312"/>
          <w:b/>
          <w:sz w:val="32"/>
          <w:szCs w:val="32"/>
        </w:rPr>
      </w:pPr>
      <w:r>
        <w:rPr>
          <w:rFonts w:hint="eastAsia" w:ascii="Times New Roman" w:hAnsi="Times New Roman" w:eastAsia="楷体_GB2312"/>
          <w:b/>
          <w:sz w:val="32"/>
          <w:szCs w:val="32"/>
        </w:rPr>
        <w:t>机构设置：</w:t>
      </w:r>
    </w:p>
    <w:p>
      <w:pPr>
        <w:spacing w:line="584" w:lineRule="exact"/>
        <w:jc w:val="center"/>
        <w:outlineLvl w:val="0"/>
        <w:rPr>
          <w:rFonts w:ascii="Times New Roman" w:hAnsi="Times New Roman" w:eastAsia="仿宋_GB2312"/>
          <w:b/>
          <w:sz w:val="32"/>
          <w:szCs w:val="24"/>
        </w:rPr>
      </w:pPr>
      <w:r>
        <w:rPr>
          <w:rFonts w:hint="eastAsia" w:ascii="Times New Roman" w:hAnsi="Times New Roman" w:eastAsia="仿宋_GB2312"/>
          <w:b/>
          <w:sz w:val="32"/>
          <w:szCs w:val="24"/>
        </w:rPr>
        <w:t>部门机构设置情况</w:t>
      </w:r>
    </w:p>
    <w:tbl>
      <w:tblPr>
        <w:tblStyle w:val="10"/>
        <w:tblW w:w="97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4" w:hRule="atLeast"/>
          <w:tblHeader/>
          <w:jc w:val="center"/>
        </w:trPr>
        <w:tc>
          <w:tcPr>
            <w:tcW w:w="4443"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单位名称</w:t>
            </w:r>
          </w:p>
        </w:tc>
        <w:tc>
          <w:tcPr>
            <w:tcW w:w="1134"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单位性质</w:t>
            </w:r>
          </w:p>
        </w:tc>
        <w:tc>
          <w:tcPr>
            <w:tcW w:w="1276"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单位规格</w:t>
            </w:r>
          </w:p>
        </w:tc>
        <w:tc>
          <w:tcPr>
            <w:tcW w:w="2902"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4" w:hRule="atLeast"/>
          <w:tblHeader/>
          <w:jc w:val="center"/>
        </w:trPr>
        <w:tc>
          <w:tcPr>
            <w:tcW w:w="4443" w:type="dxa"/>
            <w:vMerge w:val="continue"/>
            <w:vAlign w:val="center"/>
          </w:tcPr>
          <w:p>
            <w:pPr>
              <w:spacing w:line="584" w:lineRule="exact"/>
              <w:jc w:val="left"/>
              <w:outlineLvl w:val="0"/>
              <w:rPr>
                <w:rFonts w:ascii="Times New Roman" w:hAnsi="Times New Roman" w:eastAsia="仿宋_GB2312"/>
                <w:szCs w:val="24"/>
              </w:rPr>
            </w:pPr>
          </w:p>
        </w:tc>
        <w:tc>
          <w:tcPr>
            <w:tcW w:w="1134" w:type="dxa"/>
            <w:vMerge w:val="continue"/>
            <w:vAlign w:val="center"/>
          </w:tcPr>
          <w:p>
            <w:pPr>
              <w:spacing w:line="584" w:lineRule="exact"/>
              <w:jc w:val="left"/>
              <w:outlineLvl w:val="0"/>
              <w:rPr>
                <w:rFonts w:ascii="Times New Roman" w:hAnsi="Times New Roman" w:eastAsia="仿宋_GB2312"/>
                <w:szCs w:val="24"/>
              </w:rPr>
            </w:pPr>
          </w:p>
        </w:tc>
        <w:tc>
          <w:tcPr>
            <w:tcW w:w="1276" w:type="dxa"/>
            <w:vMerge w:val="continue"/>
            <w:vAlign w:val="center"/>
          </w:tcPr>
          <w:p>
            <w:pPr>
              <w:spacing w:line="584" w:lineRule="exact"/>
              <w:jc w:val="left"/>
              <w:outlineLvl w:val="0"/>
              <w:rPr>
                <w:rFonts w:ascii="Times New Roman" w:hAnsi="Times New Roman" w:eastAsia="仿宋_GB2312"/>
                <w:szCs w:val="24"/>
              </w:rPr>
            </w:pPr>
          </w:p>
        </w:tc>
        <w:tc>
          <w:tcPr>
            <w:tcW w:w="2902" w:type="dxa"/>
            <w:vMerge w:val="continue"/>
            <w:vAlign w:val="center"/>
          </w:tcPr>
          <w:p>
            <w:pPr>
              <w:spacing w:line="584" w:lineRule="exact"/>
              <w:jc w:val="left"/>
              <w:outlineLvl w:val="0"/>
              <w:rPr>
                <w:rFonts w:ascii="Times New Roman"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43" w:type="dxa"/>
            <w:vAlign w:val="center"/>
          </w:tcPr>
          <w:p>
            <w:pPr>
              <w:pStyle w:val="9"/>
              <w:widowControl/>
              <w:spacing w:before="0" w:beforeAutospacing="0" w:after="0" w:afterAutospacing="0" w:line="405" w:lineRule="atLeast"/>
              <w:jc w:val="center"/>
              <w:rPr>
                <w:rFonts w:ascii="Times New Roman" w:hAnsi="Times New Roman" w:eastAsia="仿宋_GB2312"/>
                <w:b/>
              </w:rPr>
            </w:pPr>
            <w:r>
              <w:rPr>
                <w:rFonts w:ascii="仿宋_GB2312" w:hAnsi="Arial" w:eastAsia="仿宋_GB2312" w:cs="Arial"/>
                <w:color w:val="333333"/>
                <w:szCs w:val="24"/>
                <w:shd w:val="clear" w:color="auto" w:fill="FFFFFF"/>
              </w:rPr>
              <w:t>2</w:t>
            </w:r>
            <w:r>
              <w:rPr>
                <w:rFonts w:hint="eastAsia" w:ascii="仿宋_GB2312" w:hAnsi="Arial" w:eastAsia="仿宋_GB2312" w:cs="Arial"/>
                <w:color w:val="333333"/>
                <w:szCs w:val="24"/>
                <w:shd w:val="clear" w:color="auto" w:fill="FFFFFF"/>
              </w:rPr>
              <w:t>11文安县新镇镇人民政府</w:t>
            </w:r>
          </w:p>
        </w:tc>
        <w:tc>
          <w:tcPr>
            <w:tcW w:w="1134" w:type="dxa"/>
            <w:vAlign w:val="center"/>
          </w:tcPr>
          <w:p>
            <w:pPr>
              <w:pStyle w:val="9"/>
              <w:widowControl/>
              <w:spacing w:before="0" w:beforeAutospacing="0" w:after="0" w:afterAutospacing="0" w:line="405" w:lineRule="atLeast"/>
              <w:jc w:val="center"/>
              <w:rPr>
                <w:rFonts w:ascii="Times New Roman" w:hAnsi="Times New Roman" w:eastAsia="仿宋_GB2312"/>
                <w:b/>
              </w:rPr>
            </w:pPr>
            <w:r>
              <w:rPr>
                <w:rFonts w:hint="eastAsia" w:ascii="仿宋_GB2312" w:hAnsi="Arial" w:eastAsia="仿宋_GB2312" w:cs="Arial"/>
                <w:color w:val="333333"/>
                <w:szCs w:val="24"/>
                <w:shd w:val="clear" w:color="auto" w:fill="FFFFFF"/>
              </w:rPr>
              <w:t>行政</w:t>
            </w:r>
          </w:p>
        </w:tc>
        <w:tc>
          <w:tcPr>
            <w:tcW w:w="1276" w:type="dxa"/>
            <w:vAlign w:val="center"/>
          </w:tcPr>
          <w:p>
            <w:pPr>
              <w:pStyle w:val="9"/>
              <w:widowControl/>
              <w:spacing w:before="0" w:beforeAutospacing="0" w:after="0" w:afterAutospacing="0" w:line="405" w:lineRule="atLeast"/>
              <w:jc w:val="center"/>
              <w:rPr>
                <w:rFonts w:ascii="Times New Roman" w:hAnsi="Times New Roman" w:eastAsia="仿宋_GB2312"/>
                <w:b/>
              </w:rPr>
            </w:pPr>
            <w:r>
              <w:rPr>
                <w:rFonts w:hint="eastAsia" w:ascii="仿宋_GB2312" w:hAnsi="Arial" w:eastAsia="仿宋_GB2312" w:cs="Arial"/>
                <w:color w:val="333333"/>
                <w:szCs w:val="24"/>
                <w:shd w:val="clear" w:color="auto" w:fill="FFFFFF"/>
              </w:rPr>
              <w:t>正科级别</w:t>
            </w:r>
          </w:p>
        </w:tc>
        <w:tc>
          <w:tcPr>
            <w:tcW w:w="2902" w:type="dxa"/>
            <w:vAlign w:val="center"/>
          </w:tcPr>
          <w:p>
            <w:pPr>
              <w:pStyle w:val="9"/>
              <w:widowControl/>
              <w:spacing w:before="0" w:beforeAutospacing="0" w:after="0" w:afterAutospacing="0" w:line="405" w:lineRule="atLeast"/>
              <w:jc w:val="center"/>
              <w:rPr>
                <w:rFonts w:ascii="Times New Roman" w:hAnsi="Times New Roman" w:eastAsia="仿宋_GB2312"/>
                <w:b/>
              </w:rPr>
            </w:pPr>
            <w:r>
              <w:rPr>
                <w:rFonts w:hint="eastAsia" w:ascii="仿宋_GB2312" w:hAnsi="Arial" w:eastAsia="仿宋_GB2312" w:cs="Arial"/>
                <w:color w:val="333333"/>
                <w:sz w:val="21"/>
                <w:szCs w:val="21"/>
                <w:shd w:val="clear" w:color="auto" w:fill="FFFFFF"/>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Times New Roman" w:hAnsi="Times New Roman" w:eastAsia="仿宋_GB2312"/>
              </w:rPr>
            </w:pPr>
          </w:p>
        </w:tc>
        <w:tc>
          <w:tcPr>
            <w:tcW w:w="1134" w:type="dxa"/>
            <w:vAlign w:val="center"/>
          </w:tcPr>
          <w:p>
            <w:pPr>
              <w:spacing w:line="584" w:lineRule="exact"/>
              <w:jc w:val="center"/>
              <w:rPr>
                <w:rFonts w:ascii="Times New Roman" w:hAnsi="Times New Roman" w:eastAsia="仿宋_GB2312"/>
              </w:rPr>
            </w:pPr>
          </w:p>
        </w:tc>
        <w:tc>
          <w:tcPr>
            <w:tcW w:w="1276" w:type="dxa"/>
            <w:vAlign w:val="center"/>
          </w:tcPr>
          <w:p>
            <w:pPr>
              <w:spacing w:line="584" w:lineRule="exact"/>
              <w:jc w:val="center"/>
              <w:rPr>
                <w:rFonts w:ascii="Times New Roman" w:hAnsi="Times New Roman" w:eastAsia="仿宋_GB2312"/>
              </w:rPr>
            </w:pPr>
          </w:p>
        </w:tc>
        <w:tc>
          <w:tcPr>
            <w:tcW w:w="2902" w:type="dxa"/>
            <w:vAlign w:val="center"/>
          </w:tcPr>
          <w:p>
            <w:pPr>
              <w:spacing w:line="584" w:lineRule="exact"/>
              <w:jc w:val="center"/>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Times New Roman" w:hAnsi="Times New Roman" w:eastAsia="仿宋_GB2312"/>
              </w:rPr>
            </w:pPr>
          </w:p>
        </w:tc>
        <w:tc>
          <w:tcPr>
            <w:tcW w:w="1134" w:type="dxa"/>
            <w:vAlign w:val="center"/>
          </w:tcPr>
          <w:p>
            <w:pPr>
              <w:spacing w:line="584" w:lineRule="exact"/>
              <w:jc w:val="center"/>
              <w:rPr>
                <w:rFonts w:ascii="Times New Roman" w:hAnsi="Times New Roman" w:eastAsia="仿宋_GB2312"/>
              </w:rPr>
            </w:pPr>
          </w:p>
        </w:tc>
        <w:tc>
          <w:tcPr>
            <w:tcW w:w="1276" w:type="dxa"/>
            <w:vAlign w:val="center"/>
          </w:tcPr>
          <w:p>
            <w:pPr>
              <w:spacing w:line="584" w:lineRule="exact"/>
              <w:jc w:val="center"/>
              <w:rPr>
                <w:rFonts w:ascii="Times New Roman" w:hAnsi="Times New Roman" w:eastAsia="仿宋_GB2312"/>
              </w:rPr>
            </w:pPr>
          </w:p>
        </w:tc>
        <w:tc>
          <w:tcPr>
            <w:tcW w:w="2902" w:type="dxa"/>
            <w:vAlign w:val="center"/>
          </w:tcPr>
          <w:p>
            <w:pPr>
              <w:spacing w:line="584" w:lineRule="exact"/>
              <w:jc w:val="center"/>
              <w:rPr>
                <w:rFonts w:ascii="Times New Roman" w:hAnsi="Times New Roman" w:eastAsia="仿宋_GB2312"/>
              </w:rPr>
            </w:pPr>
          </w:p>
        </w:tc>
      </w:tr>
    </w:tbl>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二、部门预算安排的总体情况</w:t>
      </w:r>
    </w:p>
    <w:p>
      <w:pPr>
        <w:spacing w:line="584" w:lineRule="exact"/>
        <w:ind w:firstLine="640" w:firstLineChars="200"/>
        <w:rPr>
          <w:rFonts w:ascii="Times New Roman" w:hAnsi="Times New Roman" w:eastAsia="仿宋_GB2312"/>
          <w:sz w:val="32"/>
          <w:szCs w:val="32"/>
        </w:rPr>
      </w:pPr>
      <w:r>
        <w:rPr>
          <w:rFonts w:hint="eastAsia" w:ascii="仿宋_GB2312" w:hAnsi="Arial" w:eastAsia="仿宋_GB2312" w:cs="仿宋_GB2312"/>
          <w:color w:val="333333"/>
          <w:sz w:val="32"/>
          <w:szCs w:val="32"/>
          <w:shd w:val="clear" w:color="auto" w:fill="FFFFFF"/>
        </w:rPr>
        <w:t>按照预算管理有关规定，目前我县部门预算的编制实行综合预算制度，及全部收入和支出都反映在预算中</w:t>
      </w:r>
      <w:r>
        <w:rPr>
          <w:rFonts w:hint="eastAsia" w:ascii="Times New Roman" w:hAnsi="Times New Roman" w:eastAsia="仿宋_GB2312"/>
          <w:sz w:val="32"/>
          <w:szCs w:val="32"/>
        </w:rPr>
        <w:t>。</w:t>
      </w:r>
    </w:p>
    <w:p>
      <w:pPr>
        <w:spacing w:line="584" w:lineRule="exact"/>
        <w:ind w:firstLine="640"/>
        <w:rPr>
          <w:rFonts w:ascii="楷体_GB2312" w:hAnsi="Times New Roman" w:eastAsia="楷体_GB2312"/>
          <w:b/>
          <w:sz w:val="32"/>
          <w:szCs w:val="32"/>
        </w:rPr>
      </w:pPr>
      <w:r>
        <w:rPr>
          <w:rFonts w:ascii="楷体_GB2312" w:hAnsi="Times New Roman" w:eastAsia="楷体_GB2312"/>
          <w:b/>
          <w:sz w:val="32"/>
          <w:szCs w:val="32"/>
        </w:rPr>
        <w:t>1</w:t>
      </w:r>
      <w:r>
        <w:rPr>
          <w:rFonts w:hint="eastAsia" w:ascii="楷体_GB2312" w:hAnsi="Times New Roman" w:eastAsia="楷体_GB2312"/>
          <w:b/>
          <w:sz w:val="32"/>
          <w:szCs w:val="32"/>
        </w:rPr>
        <w:t>、收入说明</w:t>
      </w:r>
    </w:p>
    <w:p>
      <w:pPr>
        <w:widowControl/>
        <w:spacing w:line="560" w:lineRule="atLeast"/>
        <w:ind w:firstLine="640" w:firstLineChars="200"/>
        <w:jc w:val="left"/>
        <w:rPr>
          <w:rFonts w:ascii="仿宋_GB2312" w:hAnsi="仿宋" w:eastAsia="仿宋_GB2312" w:cs="宋体"/>
          <w:color w:val="484747"/>
          <w:kern w:val="0"/>
          <w:sz w:val="32"/>
          <w:szCs w:val="32"/>
        </w:rPr>
      </w:pPr>
      <w:r>
        <w:rPr>
          <w:rFonts w:ascii="仿宋_GB2312" w:hAnsi="仿宋" w:eastAsia="仿宋_GB2312" w:cs="宋体"/>
          <w:color w:val="484747"/>
          <w:kern w:val="0"/>
          <w:sz w:val="32"/>
          <w:szCs w:val="32"/>
        </w:rPr>
        <w:t>2020</w:t>
      </w:r>
      <w:r>
        <w:rPr>
          <w:rFonts w:hint="eastAsia" w:ascii="仿宋_GB2312" w:hAnsi="仿宋" w:eastAsia="仿宋_GB2312" w:cs="宋体"/>
          <w:color w:val="484747"/>
          <w:kern w:val="0"/>
          <w:sz w:val="32"/>
          <w:szCs w:val="32"/>
        </w:rPr>
        <w:t>年部门预算收入为3407.83万元，其中一般公共预算拨款</w:t>
      </w:r>
      <w:r>
        <w:rPr>
          <w:rFonts w:ascii="仿宋_GB2312" w:hAnsi="仿宋" w:eastAsia="仿宋_GB2312" w:cs="宋体"/>
          <w:color w:val="484747"/>
          <w:kern w:val="0"/>
          <w:sz w:val="32"/>
          <w:szCs w:val="32"/>
        </w:rPr>
        <w:t xml:space="preserve"> </w:t>
      </w:r>
      <w:r>
        <w:rPr>
          <w:rFonts w:hint="eastAsia" w:ascii="仿宋_GB2312" w:hAnsi="仿宋" w:eastAsia="仿宋_GB2312" w:cs="宋体"/>
          <w:color w:val="484747"/>
          <w:kern w:val="0"/>
          <w:sz w:val="32"/>
          <w:szCs w:val="32"/>
        </w:rPr>
        <w:t>1210.63万元，政府性基金收入2197.20万元，</w:t>
      </w:r>
      <w:r>
        <w:rPr>
          <w:rFonts w:hint="eastAsia" w:ascii="Times New Roman" w:hAnsi="Times New Roman" w:eastAsia="仿宋_GB2312"/>
          <w:sz w:val="32"/>
          <w:szCs w:val="32"/>
        </w:rPr>
        <w:t>财政专户核拨收入</w:t>
      </w:r>
      <w:r>
        <w:rPr>
          <w:rFonts w:ascii="Times New Roman" w:hAnsi="Times New Roman" w:eastAsia="仿宋_GB2312"/>
          <w:sz w:val="32"/>
          <w:szCs w:val="32"/>
        </w:rPr>
        <w:t>0</w:t>
      </w:r>
      <w:r>
        <w:rPr>
          <w:rFonts w:hint="eastAsia" w:ascii="Times New Roman" w:hAnsi="Times New Roman" w:eastAsia="仿宋_GB2312"/>
          <w:sz w:val="32"/>
          <w:szCs w:val="32"/>
        </w:rPr>
        <w:t>万元，其他来源收入</w:t>
      </w:r>
      <w:r>
        <w:rPr>
          <w:rFonts w:ascii="Times New Roman" w:hAnsi="Times New Roman" w:eastAsia="仿宋_GB2312"/>
          <w:sz w:val="32"/>
          <w:szCs w:val="32"/>
        </w:rPr>
        <w:t>0</w:t>
      </w:r>
      <w:r>
        <w:rPr>
          <w:rFonts w:hint="eastAsia" w:ascii="Times New Roman" w:hAnsi="Times New Roman" w:eastAsia="仿宋_GB2312"/>
          <w:sz w:val="32"/>
          <w:szCs w:val="32"/>
        </w:rPr>
        <w:t>万元</w:t>
      </w:r>
      <w:r>
        <w:rPr>
          <w:rFonts w:hint="eastAsia" w:ascii="仿宋_GB2312" w:hAnsi="仿宋" w:eastAsia="仿宋_GB2312" w:cs="宋体"/>
          <w:color w:val="484747"/>
          <w:kern w:val="0"/>
          <w:sz w:val="32"/>
          <w:szCs w:val="32"/>
        </w:rPr>
        <w:t>。</w:t>
      </w:r>
    </w:p>
    <w:p>
      <w:pPr>
        <w:spacing w:line="584" w:lineRule="exact"/>
        <w:ind w:firstLine="640"/>
        <w:rPr>
          <w:rFonts w:ascii="楷体_GB2312" w:hAnsi="Times New Roman" w:eastAsia="楷体_GB2312"/>
          <w:b/>
          <w:sz w:val="32"/>
          <w:szCs w:val="32"/>
        </w:rPr>
      </w:pPr>
      <w:r>
        <w:rPr>
          <w:rFonts w:ascii="楷体_GB2312" w:hAnsi="Times New Roman" w:eastAsia="楷体_GB2312"/>
          <w:b/>
          <w:sz w:val="32"/>
          <w:szCs w:val="32"/>
        </w:rPr>
        <w:t>2</w:t>
      </w:r>
      <w:r>
        <w:rPr>
          <w:rFonts w:hint="eastAsia" w:ascii="楷体_GB2312" w:hAnsi="Times New Roman" w:eastAsia="楷体_GB2312"/>
          <w:b/>
          <w:sz w:val="32"/>
          <w:szCs w:val="32"/>
        </w:rPr>
        <w:t>、支出说明</w:t>
      </w:r>
    </w:p>
    <w:p>
      <w:pPr>
        <w:spacing w:line="584" w:lineRule="exact"/>
        <w:ind w:firstLine="640"/>
        <w:rPr>
          <w:rFonts w:ascii="仿宋_GB2312" w:hAnsi="仿宋" w:eastAsia="仿宋_GB2312" w:cs="宋体"/>
          <w:color w:val="484747"/>
          <w:kern w:val="0"/>
          <w:sz w:val="32"/>
          <w:szCs w:val="32"/>
        </w:rPr>
      </w:pPr>
      <w:r>
        <w:rPr>
          <w:rFonts w:hint="eastAsia" w:ascii="仿宋_GB2312" w:eastAsia="仿宋_GB2312"/>
          <w:color w:val="000000"/>
          <w:sz w:val="32"/>
          <w:szCs w:val="32"/>
        </w:rPr>
        <w:t>收支预算总表支出栏、基本支出表、项目支出表按经济分类和支出功能分类科目编制，反映廊坊市文安县史各庄镇人民政府</w:t>
      </w:r>
      <w:r>
        <w:rPr>
          <w:rFonts w:ascii="仿宋_GB2312" w:eastAsia="仿宋_GB2312"/>
          <w:color w:val="000000"/>
          <w:sz w:val="32"/>
          <w:szCs w:val="32"/>
        </w:rPr>
        <w:t>2020</w:t>
      </w:r>
      <w:r>
        <w:rPr>
          <w:rFonts w:hint="eastAsia" w:ascii="仿宋_GB2312" w:eastAsia="仿宋_GB2312"/>
          <w:color w:val="000000"/>
          <w:sz w:val="32"/>
          <w:szCs w:val="32"/>
        </w:rPr>
        <w:t>年度部门预算中支出预算的总体情况。</w:t>
      </w:r>
      <w:r>
        <w:rPr>
          <w:rFonts w:ascii="仿宋_GB2312" w:hAnsi="仿宋" w:eastAsia="仿宋_GB2312" w:cs="宋体"/>
          <w:color w:val="484747"/>
          <w:kern w:val="0"/>
          <w:sz w:val="32"/>
          <w:szCs w:val="32"/>
        </w:rPr>
        <w:t>2020</w:t>
      </w:r>
      <w:r>
        <w:rPr>
          <w:rFonts w:hint="eastAsia" w:ascii="仿宋_GB2312" w:hAnsi="仿宋" w:eastAsia="仿宋_GB2312" w:cs="宋体"/>
          <w:color w:val="484747"/>
          <w:kern w:val="0"/>
          <w:sz w:val="32"/>
          <w:szCs w:val="32"/>
        </w:rPr>
        <w:t>年支出预算为</w:t>
      </w:r>
      <w:r>
        <w:rPr>
          <w:rFonts w:ascii="仿宋_GB2312" w:hAnsi="仿宋" w:eastAsia="仿宋_GB2312" w:cs="宋体"/>
          <w:color w:val="484747"/>
          <w:kern w:val="0"/>
          <w:sz w:val="32"/>
          <w:szCs w:val="32"/>
        </w:rPr>
        <w:t xml:space="preserve"> </w:t>
      </w:r>
      <w:r>
        <w:rPr>
          <w:rFonts w:hint="eastAsia" w:ascii="仿宋_GB2312" w:hAnsi="仿宋" w:eastAsia="仿宋_GB2312" w:cs="宋体"/>
          <w:color w:val="484747"/>
          <w:kern w:val="0"/>
          <w:sz w:val="32"/>
          <w:szCs w:val="32"/>
        </w:rPr>
        <w:t>3407.83万元，其中基本支出1118.48万元包括人员经费955.71万元和日常公用经费162.77万元</w:t>
      </w:r>
      <w:r>
        <w:rPr>
          <w:rFonts w:ascii="仿宋_GB2312" w:hAnsi="仿宋" w:eastAsia="仿宋_GB2312" w:cs="宋体"/>
          <w:color w:val="484747"/>
          <w:kern w:val="0"/>
          <w:sz w:val="32"/>
          <w:szCs w:val="32"/>
        </w:rPr>
        <w:t>;</w:t>
      </w:r>
      <w:r>
        <w:rPr>
          <w:rFonts w:hint="eastAsia" w:ascii="仿宋_GB2312" w:hAnsi="仿宋" w:eastAsia="仿宋_GB2312" w:cs="宋体"/>
          <w:color w:val="484747"/>
          <w:kern w:val="0"/>
          <w:sz w:val="32"/>
          <w:szCs w:val="32"/>
        </w:rPr>
        <w:t>项目支出</w:t>
      </w:r>
      <w:r>
        <w:rPr>
          <w:rFonts w:ascii="仿宋_GB2312" w:hAnsi="仿宋" w:eastAsia="仿宋_GB2312" w:cs="宋体"/>
          <w:color w:val="484747"/>
          <w:kern w:val="0"/>
          <w:sz w:val="32"/>
          <w:szCs w:val="32"/>
        </w:rPr>
        <w:t xml:space="preserve"> </w:t>
      </w:r>
      <w:r>
        <w:rPr>
          <w:rFonts w:hint="eastAsia" w:ascii="仿宋_GB2312" w:hAnsi="仿宋" w:eastAsia="仿宋_GB2312" w:cs="宋体"/>
          <w:color w:val="484747"/>
          <w:kern w:val="0"/>
          <w:sz w:val="32"/>
          <w:szCs w:val="32"/>
        </w:rPr>
        <w:t>2289.35万元，主要为文新污水处理厂运营建设，幼儿园保育费，其他基础设施建设配套费安排的支出项目，106国道两侧牌匾立面环境整治等。</w:t>
      </w:r>
    </w:p>
    <w:p>
      <w:pPr>
        <w:spacing w:line="584" w:lineRule="exact"/>
        <w:ind w:firstLine="640"/>
        <w:rPr>
          <w:rFonts w:ascii="楷体_GB2312" w:hAnsi="Times New Roman" w:eastAsia="楷体_GB2312"/>
          <w:b/>
          <w:sz w:val="32"/>
          <w:szCs w:val="32"/>
        </w:rPr>
      </w:pPr>
      <w:r>
        <w:rPr>
          <w:rFonts w:ascii="楷体_GB2312" w:hAnsi="Times New Roman" w:eastAsia="楷体_GB2312"/>
          <w:b/>
          <w:sz w:val="32"/>
          <w:szCs w:val="32"/>
        </w:rPr>
        <w:t>3</w:t>
      </w:r>
      <w:r>
        <w:rPr>
          <w:rFonts w:hint="eastAsia" w:ascii="楷体_GB2312" w:hAnsi="Times New Roman" w:eastAsia="楷体_GB2312"/>
          <w:b/>
          <w:sz w:val="32"/>
          <w:szCs w:val="32"/>
        </w:rPr>
        <w:t>、比上年增减情况</w:t>
      </w:r>
    </w:p>
    <w:p>
      <w:pPr>
        <w:spacing w:line="584" w:lineRule="exact"/>
        <w:ind w:firstLine="640"/>
        <w:rPr>
          <w:rFonts w:ascii="Times New Roman" w:hAnsi="Times New Roman" w:eastAsia="仿宋_GB2312"/>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年预算收支安排3407.83万元，较</w:t>
      </w:r>
      <w:r>
        <w:rPr>
          <w:rFonts w:ascii="Times New Roman" w:hAnsi="Times New Roman" w:eastAsia="仿宋_GB2312"/>
          <w:sz w:val="32"/>
          <w:szCs w:val="32"/>
        </w:rPr>
        <w:t>2019</w:t>
      </w:r>
      <w:r>
        <w:rPr>
          <w:rFonts w:hint="eastAsia" w:ascii="Times New Roman" w:hAnsi="Times New Roman" w:eastAsia="仿宋_GB2312"/>
          <w:sz w:val="32"/>
          <w:szCs w:val="32"/>
        </w:rPr>
        <w:t>年预算增加2130.11万元，其中：基本支出增加110.16万元，主要为人员支出和日常公用增加；项目支出增加2019.85万元，主要为106国道两侧立面改造，文新污水处理厂提升改造。</w:t>
      </w:r>
    </w:p>
    <w:p>
      <w:pPr>
        <w:autoSpaceDE w:val="0"/>
        <w:autoSpaceDN w:val="0"/>
        <w:adjustRightInd w:val="0"/>
        <w:spacing w:line="584" w:lineRule="exact"/>
        <w:ind w:firstLine="800" w:firstLineChars="250"/>
        <w:jc w:val="left"/>
        <w:rPr>
          <w:rFonts w:ascii="Times New Roman" w:hAnsi="Times New Roman" w:eastAsia="黑体"/>
          <w:sz w:val="32"/>
          <w:szCs w:val="32"/>
        </w:rPr>
      </w:pPr>
      <w:r>
        <w:rPr>
          <w:rFonts w:hint="eastAsia" w:ascii="Times New Roman" w:hAnsi="黑体" w:eastAsia="黑体"/>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年，我部门机关运行经费共计安排162.77万元，主要用于</w:t>
      </w:r>
      <w:r>
        <w:rPr>
          <w:rFonts w:hint="eastAsia" w:ascii="仿宋_GB2312" w:hAnsi="Arial" w:eastAsia="仿宋_GB2312" w:cs="仿宋_GB2312"/>
          <w:color w:val="333333"/>
          <w:sz w:val="32"/>
          <w:szCs w:val="32"/>
          <w:shd w:val="clear" w:color="auto" w:fill="FFFFFF"/>
        </w:rPr>
        <w:t>我单位</w:t>
      </w:r>
      <w:r>
        <w:rPr>
          <w:rFonts w:hint="eastAsia" w:ascii="Times New Roman" w:hAnsi="Times New Roman" w:eastAsia="仿宋_GB2312"/>
          <w:sz w:val="32"/>
          <w:szCs w:val="32"/>
        </w:rPr>
        <w:t>办公区的日常维修、办公用房水电费、办公用房取暖费、办公用房物业管理费等日常运行支出。</w:t>
      </w:r>
    </w:p>
    <w:p>
      <w:pPr>
        <w:autoSpaceDE w:val="0"/>
        <w:autoSpaceDN w:val="0"/>
        <w:adjustRightInd w:val="0"/>
        <w:spacing w:line="584" w:lineRule="exact"/>
        <w:ind w:firstLine="784" w:firstLineChars="245"/>
        <w:jc w:val="left"/>
        <w:rPr>
          <w:rFonts w:ascii="黑体" w:hAnsi="Times New Roman" w:eastAsia="黑体"/>
          <w:sz w:val="32"/>
          <w:szCs w:val="32"/>
        </w:rPr>
      </w:pPr>
      <w:r>
        <w:rPr>
          <w:rFonts w:hint="eastAsia" w:ascii="黑体" w:hAnsi="Times New Roman" w:eastAsia="黑体"/>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年，我局财政拨款</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经费预算安排4万元。其中，因公出国（境）费</w:t>
      </w:r>
      <w:r>
        <w:rPr>
          <w:rFonts w:ascii="Times New Roman" w:hAnsi="Times New Roman" w:eastAsia="仿宋_GB2312"/>
          <w:sz w:val="32"/>
          <w:szCs w:val="32"/>
        </w:rPr>
        <w:t>0</w:t>
      </w:r>
      <w:r>
        <w:rPr>
          <w:rFonts w:hint="eastAsia" w:ascii="Times New Roman" w:hAnsi="Times New Roman" w:eastAsia="仿宋_GB2312"/>
          <w:sz w:val="32"/>
          <w:szCs w:val="32"/>
        </w:rPr>
        <w:t>万元；公务用车购置及运维费4万元（其中：公务用车购置费为</w:t>
      </w:r>
      <w:r>
        <w:rPr>
          <w:rFonts w:ascii="Times New Roman" w:hAnsi="Times New Roman" w:eastAsia="仿宋_GB2312"/>
          <w:sz w:val="32"/>
          <w:szCs w:val="32"/>
        </w:rPr>
        <w:t>0</w:t>
      </w:r>
      <w:r>
        <w:rPr>
          <w:rFonts w:hint="eastAsia" w:ascii="Times New Roman" w:hAnsi="Times New Roman" w:eastAsia="仿宋_GB2312"/>
          <w:sz w:val="32"/>
          <w:szCs w:val="32"/>
        </w:rPr>
        <w:t>万元，公务用车运维费4万元</w:t>
      </w:r>
      <w:r>
        <w:rPr>
          <w:rFonts w:ascii="Times New Roman" w:hAnsi="Times New Roman" w:eastAsia="仿宋_GB2312"/>
          <w:sz w:val="32"/>
          <w:szCs w:val="32"/>
        </w:rPr>
        <w:t>)</w:t>
      </w:r>
      <w:r>
        <w:rPr>
          <w:rFonts w:hint="eastAsia" w:ascii="Times New Roman" w:hAnsi="Times New Roman" w:eastAsia="仿宋_GB2312"/>
          <w:sz w:val="32"/>
          <w:szCs w:val="32"/>
        </w:rPr>
        <w:t>与2019年相比持平无增减变化，我部门切实落实勤俭节约各项规定；公务接待费</w:t>
      </w:r>
      <w:r>
        <w:rPr>
          <w:rFonts w:ascii="Times New Roman" w:hAnsi="Times New Roman" w:eastAsia="仿宋_GB2312"/>
          <w:sz w:val="32"/>
          <w:szCs w:val="32"/>
        </w:rPr>
        <w:t>0</w:t>
      </w:r>
      <w:r>
        <w:rPr>
          <w:rFonts w:hint="eastAsia" w:ascii="Times New Roman" w:hAnsi="Times New Roman" w:eastAsia="仿宋_GB2312"/>
          <w:sz w:val="32"/>
          <w:szCs w:val="32"/>
        </w:rPr>
        <w:t>万元，与</w:t>
      </w:r>
      <w:r>
        <w:rPr>
          <w:rFonts w:ascii="Times New Roman" w:hAnsi="Times New Roman" w:eastAsia="仿宋_GB2312"/>
          <w:sz w:val="32"/>
          <w:szCs w:val="32"/>
        </w:rPr>
        <w:t>2019</w:t>
      </w:r>
      <w:r>
        <w:rPr>
          <w:rFonts w:hint="eastAsia" w:ascii="Times New Roman" w:hAnsi="Times New Roman" w:eastAsia="仿宋_GB2312"/>
          <w:sz w:val="32"/>
          <w:szCs w:val="32"/>
        </w:rPr>
        <w:t>年减少1万元；公务接待费</w:t>
      </w:r>
      <w:r>
        <w:rPr>
          <w:rFonts w:ascii="Times New Roman" w:hAnsi="Times New Roman" w:eastAsia="仿宋_GB2312"/>
          <w:sz w:val="32"/>
          <w:szCs w:val="32"/>
        </w:rPr>
        <w:t>0</w:t>
      </w:r>
      <w:r>
        <w:rPr>
          <w:rFonts w:hint="eastAsia" w:ascii="Times New Roman" w:hAnsi="Times New Roman" w:eastAsia="仿宋_GB2312"/>
          <w:sz w:val="32"/>
          <w:szCs w:val="32"/>
        </w:rPr>
        <w:t>万元，主要原因是我单位切实落实勤俭节约各项规定，严格控制公务接待费支出。</w:t>
      </w:r>
    </w:p>
    <w:p>
      <w:pPr>
        <w:numPr>
          <w:ilvl w:val="0"/>
          <w:numId w:val="1"/>
        </w:numPr>
        <w:spacing w:line="584" w:lineRule="exact"/>
        <w:rPr>
          <w:rFonts w:ascii="Times New Roman" w:hAnsi="黑体" w:eastAsia="黑体"/>
          <w:sz w:val="32"/>
          <w:szCs w:val="32"/>
        </w:rPr>
      </w:pPr>
      <w:r>
        <w:rPr>
          <w:rFonts w:hint="eastAsia" w:ascii="Times New Roman" w:hAnsi="黑体" w:eastAsia="黑体"/>
          <w:sz w:val="32"/>
          <w:szCs w:val="32"/>
        </w:rPr>
        <w:t>绩效预算信息</w:t>
      </w:r>
    </w:p>
    <w:p>
      <w:pPr>
        <w:spacing w:line="584" w:lineRule="exact"/>
        <w:ind w:firstLine="800" w:firstLineChars="250"/>
        <w:rPr>
          <w:rFonts w:ascii="Times New Roman" w:hAnsi="黑体" w:eastAsia="黑体"/>
          <w:sz w:val="32"/>
          <w:szCs w:val="32"/>
        </w:rPr>
      </w:pPr>
      <w:r>
        <w:rPr>
          <w:rFonts w:hint="eastAsia" w:ascii="Times New Roman" w:hAnsi="黑体" w:eastAsia="黑体"/>
          <w:sz w:val="32"/>
          <w:szCs w:val="32"/>
        </w:rPr>
        <w:t>第一部分</w:t>
      </w:r>
      <w:r>
        <w:rPr>
          <w:rFonts w:ascii="Times New Roman" w:hAnsi="黑体" w:eastAsia="黑体"/>
          <w:sz w:val="32"/>
          <w:szCs w:val="32"/>
        </w:rPr>
        <w:t xml:space="preserve"> </w:t>
      </w:r>
      <w:r>
        <w:rPr>
          <w:rFonts w:hint="eastAsia" w:ascii="Times New Roman" w:hAnsi="黑体" w:eastAsia="黑体"/>
          <w:sz w:val="32"/>
          <w:szCs w:val="32"/>
        </w:rPr>
        <w:t>部门整体绩效目标</w:t>
      </w:r>
    </w:p>
    <w:p>
      <w:pPr>
        <w:spacing w:line="584"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（一）总体绩效目标</w:t>
      </w:r>
    </w:p>
    <w:p>
      <w:pPr>
        <w:spacing w:line="500" w:lineRule="exact"/>
        <w:ind w:firstLine="560" w:firstLineChars="200"/>
        <w:jc w:val="left"/>
        <w:rPr>
          <w:rFonts w:ascii="Times New Roman" w:eastAsia="方正仿宋_GBK"/>
          <w:sz w:val="28"/>
        </w:rPr>
      </w:pPr>
      <w:r>
        <w:rPr>
          <w:rFonts w:ascii="Times New Roman" w:eastAsia="方正仿宋_GBK"/>
          <w:sz w:val="28"/>
        </w:rPr>
        <w:t>镇党委、镇政府将在县委县政府的正确领导下，以工业创强为主题，以加快小城镇建设为主线，以优化环境为基础，以提高人民生活水平为出发点，聚焦发展、聚焦民生，狠抓招商引资、狠抓项目投入、狠抓环境整治，为全面建设新镇而努力奋斗。拟定我镇规划管理政策，制定城乡规划技术管理标准和导则；依法编制总体规划、专项规划、控制性详细规划、历史文化名城和街区保护等专项规划。加强和改进规划管理技术手段，对依法批准的管区规划进行监督实施。贯彻执行国家国民经济核算制度，组织实施全区国民经济核算制度和投入产出调查，核算全镇生产总值，整理、测算和提供国民经济核算资料，监督管理全区国民经济核算工作。承办乡镇管区、政府及上级财政部门交办的其他事项负责做好农村综合改革和社会主义新农村建设相关工作。严格按照上级财政部门规定的工作程序开展工作编制预、决算，充分发挥财政资金效益。</w:t>
      </w:r>
    </w:p>
    <w:p>
      <w:pPr>
        <w:spacing w:line="584" w:lineRule="exact"/>
        <w:ind w:firstLine="469" w:firstLineChars="146"/>
        <w:rPr>
          <w:rFonts w:ascii="楷体_GB2312" w:hAnsi="黑体" w:eastAsia="楷体_GB2312"/>
          <w:b/>
          <w:sz w:val="32"/>
          <w:szCs w:val="32"/>
        </w:rPr>
      </w:pPr>
      <w:r>
        <w:rPr>
          <w:rFonts w:hint="eastAsia" w:ascii="楷体_GB2312" w:hAnsi="黑体" w:eastAsia="楷体_GB2312"/>
          <w:b/>
          <w:sz w:val="32"/>
          <w:szCs w:val="32"/>
        </w:rPr>
        <w:t>（二）分项绩效目标</w:t>
      </w:r>
    </w:p>
    <w:p>
      <w:pPr>
        <w:spacing w:line="500" w:lineRule="exact"/>
        <w:ind w:firstLine="420" w:firstLineChars="150"/>
        <w:jc w:val="left"/>
        <w:rPr>
          <w:rFonts w:ascii="Times New Roman" w:eastAsia="方正仿宋_GBK"/>
          <w:sz w:val="28"/>
        </w:rPr>
      </w:pPr>
      <w:r>
        <w:rPr>
          <w:rFonts w:ascii="Times New Roman" w:eastAsia="方正仿宋_GBK"/>
          <w:sz w:val="28"/>
        </w:rPr>
        <w:t>1</w:t>
      </w:r>
      <w:r>
        <w:rPr>
          <w:rFonts w:hint="eastAsia" w:ascii="Times New Roman" w:eastAsia="方正仿宋_GBK"/>
          <w:sz w:val="28"/>
        </w:rPr>
        <w:t>、人大和社会监督方面</w:t>
      </w:r>
    </w:p>
    <w:p>
      <w:pPr>
        <w:spacing w:line="500" w:lineRule="exact"/>
        <w:ind w:firstLine="420" w:firstLineChars="150"/>
        <w:jc w:val="left"/>
        <w:rPr>
          <w:rFonts w:ascii="Times New Roman" w:eastAsia="方正仿宋_GBK"/>
          <w:sz w:val="28"/>
        </w:rPr>
      </w:pPr>
      <w:r>
        <w:rPr>
          <w:rFonts w:ascii="Times New Roman" w:eastAsia="方正仿宋_GBK"/>
          <w:sz w:val="28"/>
        </w:rPr>
        <w:t>监督宪法和法律在我镇行政区域内正确实施，监督本级预算按照人代会通过的预算有效实施。在人大代表和镇人大常委充分发表审议意见的基础上，作出我镇经济社会发展计划、总预算和本级预算等决议。高效、精细的筹备县人大会。保障镇大型会议、重大活动的正常、顺利举办。</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eastAsia="方正仿宋_GBK"/>
          <w:sz w:val="28"/>
        </w:rPr>
        <w:t>、政府工作运转方面</w:t>
      </w:r>
    </w:p>
    <w:p>
      <w:pPr>
        <w:spacing w:line="500" w:lineRule="exact"/>
        <w:ind w:firstLine="560" w:firstLineChars="200"/>
        <w:jc w:val="left"/>
        <w:rPr>
          <w:rFonts w:ascii="Times New Roman" w:eastAsia="方正仿宋_GBK"/>
          <w:sz w:val="28"/>
        </w:rPr>
      </w:pPr>
      <w:r>
        <w:rPr>
          <w:rFonts w:ascii="Times New Roman" w:eastAsia="方正仿宋_GBK"/>
          <w:sz w:val="28"/>
        </w:rPr>
        <w:t>保障机关公文正常运转保持线路畅通，服务对象满意。农村路网全覆盖完善城乡社会救助制度，实施分类救助，应保尽保,动态管理。</w:t>
      </w:r>
    </w:p>
    <w:p>
      <w:pPr>
        <w:spacing w:line="500" w:lineRule="exact"/>
        <w:ind w:firstLine="560" w:firstLineChars="200"/>
        <w:jc w:val="left"/>
        <w:rPr>
          <w:rFonts w:hint="eastAsia" w:ascii="Times New Roman" w:eastAsia="方正仿宋_GBK"/>
          <w:sz w:val="28"/>
        </w:rPr>
      </w:pP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eastAsia="方正仿宋_GBK"/>
          <w:sz w:val="28"/>
        </w:rPr>
        <w:t>、民政和社会服务方面</w:t>
      </w:r>
    </w:p>
    <w:p>
      <w:pPr>
        <w:spacing w:line="500" w:lineRule="exact"/>
        <w:ind w:firstLine="560" w:firstLineChars="200"/>
        <w:jc w:val="left"/>
        <w:rPr>
          <w:rFonts w:ascii="Times New Roman" w:eastAsia="方正仿宋_GBK"/>
          <w:sz w:val="28"/>
        </w:rPr>
      </w:pPr>
      <w:r>
        <w:rPr>
          <w:rFonts w:ascii="Times New Roman" w:eastAsia="方正仿宋_GBK"/>
          <w:sz w:val="28"/>
        </w:rPr>
        <w:t>解决优抚对象的生活、医疗困难，推行阳光安置，保障退役士兵合法权益；按时足额发放各类经济补助</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eastAsia="方正仿宋_GBK"/>
          <w:sz w:val="28"/>
        </w:rPr>
        <w:t>、农业管理方面</w:t>
      </w:r>
    </w:p>
    <w:p>
      <w:pPr>
        <w:spacing w:line="500" w:lineRule="exact"/>
        <w:ind w:firstLine="560" w:firstLineChars="200"/>
        <w:jc w:val="left"/>
        <w:rPr>
          <w:rFonts w:ascii="Times New Roman" w:eastAsia="方正仿宋_GBK"/>
          <w:sz w:val="28"/>
        </w:rPr>
      </w:pPr>
      <w:r>
        <w:rPr>
          <w:rFonts w:ascii="Times New Roman" w:eastAsia="方正仿宋_GBK"/>
          <w:sz w:val="28"/>
        </w:rPr>
        <w:t>提高农产品产量和产量，优化农业产业结构，提高经济效益，增加农民收入加强城乡规划管理，协调城乡空间布局，改善人居环境，促进城乡经济社会全面协调可持续发展。全面推进土地深翻、加大禁烧巡查力度，大力推进秸秆禁烧，有效防止大气污染。</w:t>
      </w:r>
    </w:p>
    <w:p>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eastAsia="方正仿宋_GBK"/>
          <w:sz w:val="28"/>
        </w:rPr>
        <w:t>、群众文化方面</w:t>
      </w:r>
    </w:p>
    <w:p>
      <w:pPr>
        <w:spacing w:line="500" w:lineRule="exact"/>
        <w:ind w:firstLine="560" w:firstLineChars="200"/>
        <w:jc w:val="left"/>
        <w:rPr>
          <w:rFonts w:ascii="Times New Roman" w:eastAsia="方正仿宋_GBK"/>
          <w:sz w:val="28"/>
        </w:rPr>
      </w:pPr>
      <w:r>
        <w:rPr>
          <w:rFonts w:ascii="Times New Roman" w:eastAsia="方正仿宋_GBK"/>
          <w:sz w:val="28"/>
        </w:rPr>
        <w:t>文化发展环境健康向上，文化发展能力不断增强，文化艺术资源丰富，公共文化服务和文化艺术生产水平不断提高，促进文化影响力日益扩大。</w:t>
      </w:r>
    </w:p>
    <w:p>
      <w:pPr>
        <w:spacing w:line="500" w:lineRule="exact"/>
        <w:ind w:firstLine="560" w:firstLineChars="200"/>
        <w:jc w:val="left"/>
        <w:rPr>
          <w:rFonts w:ascii="Times New Roman" w:eastAsia="方正仿宋_GBK"/>
          <w:sz w:val="28"/>
        </w:rPr>
      </w:pPr>
      <w:r>
        <w:rPr>
          <w:rFonts w:ascii="Times New Roman" w:eastAsia="方正仿宋_GBK"/>
          <w:sz w:val="28"/>
        </w:rPr>
        <w:t>6</w:t>
      </w:r>
      <w:r>
        <w:rPr>
          <w:rFonts w:hint="eastAsia" w:ascii="Times New Roman" w:eastAsia="方正仿宋_GBK"/>
          <w:sz w:val="28"/>
        </w:rPr>
        <w:t>、医疗卫生和计划生育服务方面</w:t>
      </w:r>
    </w:p>
    <w:p>
      <w:pPr>
        <w:spacing w:line="500" w:lineRule="exact"/>
        <w:ind w:firstLine="560" w:firstLineChars="200"/>
        <w:jc w:val="left"/>
        <w:rPr>
          <w:rFonts w:ascii="Times New Roman" w:eastAsia="方正仿宋_GBK"/>
          <w:sz w:val="28"/>
        </w:rPr>
      </w:pPr>
      <w:r>
        <w:rPr>
          <w:rFonts w:ascii="Times New Roman" w:eastAsia="方正仿宋_GBK"/>
          <w:sz w:val="28"/>
        </w:rPr>
        <w:t>稳定适度的低生育水平，有效保障计划生育家庭生活水平，提高妇女生殖健康水平，降低出生缺陷的发生，有效遏制出生人口性别比偏高问题。</w:t>
      </w:r>
    </w:p>
    <w:p>
      <w:pPr>
        <w:spacing w:line="500" w:lineRule="exact"/>
        <w:ind w:firstLine="560" w:firstLineChars="200"/>
        <w:jc w:val="left"/>
        <w:rPr>
          <w:rFonts w:ascii="Times New Roman" w:eastAsia="方正仿宋_GBK"/>
          <w:sz w:val="28"/>
        </w:rPr>
      </w:pPr>
      <w:r>
        <w:rPr>
          <w:rFonts w:ascii="Times New Roman" w:eastAsia="方正仿宋_GBK"/>
          <w:sz w:val="28"/>
        </w:rPr>
        <w:t>7</w:t>
      </w:r>
      <w:r>
        <w:rPr>
          <w:rFonts w:hint="eastAsia" w:ascii="Times New Roman" w:eastAsia="方正仿宋_GBK"/>
          <w:sz w:val="28"/>
        </w:rPr>
        <w:t>、社会团体方面</w:t>
      </w:r>
    </w:p>
    <w:p>
      <w:pPr>
        <w:spacing w:line="500" w:lineRule="exact"/>
        <w:ind w:firstLine="560" w:firstLineChars="200"/>
        <w:jc w:val="left"/>
        <w:rPr>
          <w:rFonts w:ascii="Times New Roman" w:eastAsia="方正仿宋_GBK"/>
          <w:sz w:val="28"/>
        </w:rPr>
      </w:pPr>
      <w:r>
        <w:rPr>
          <w:rFonts w:ascii="Times New Roman" w:eastAsia="方正仿宋_GBK"/>
          <w:sz w:val="28"/>
        </w:rPr>
        <w:t>围绕青年思想动态和青年工作现状，不断加强青少年社会主义核心价值观教育，加强青年统战工作，围绕党政中心工作开展各项活动。把广大妇女紧密团结在党中央周围，围绕中央、镇政府中心工作。</w:t>
      </w:r>
    </w:p>
    <w:p>
      <w:pPr>
        <w:spacing w:line="500" w:lineRule="exact"/>
        <w:ind w:firstLine="560" w:firstLineChars="200"/>
        <w:jc w:val="left"/>
        <w:rPr>
          <w:rFonts w:ascii="Times New Roman" w:eastAsia="方正仿宋_GBK"/>
          <w:sz w:val="28"/>
        </w:rPr>
      </w:pPr>
      <w:r>
        <w:rPr>
          <w:rFonts w:ascii="Times New Roman" w:eastAsia="方正仿宋_GBK"/>
          <w:sz w:val="28"/>
        </w:rPr>
        <w:t>8</w:t>
      </w:r>
      <w:r>
        <w:rPr>
          <w:rFonts w:hint="eastAsia" w:ascii="Times New Roman" w:eastAsia="方正仿宋_GBK"/>
          <w:sz w:val="28"/>
        </w:rPr>
        <w:t>、财经管理方面</w:t>
      </w:r>
    </w:p>
    <w:p>
      <w:pPr>
        <w:spacing w:line="500" w:lineRule="exact"/>
        <w:ind w:firstLine="560" w:firstLineChars="200"/>
        <w:jc w:val="left"/>
        <w:rPr>
          <w:rFonts w:ascii="Times New Roman" w:eastAsia="方正仿宋_GBK"/>
          <w:sz w:val="28"/>
        </w:rPr>
      </w:pPr>
      <w:r>
        <w:rPr>
          <w:rFonts w:ascii="Times New Roman" w:eastAsia="方正仿宋_GBK"/>
          <w:sz w:val="28"/>
        </w:rPr>
        <w:t>加强对专项资金的监管，提高财政资金使用效率。管理各类政策性补贴等资金，建立惠农资金补助对象管理新机制，完善财政补贴资金“一卡通”发放机制。</w:t>
      </w:r>
    </w:p>
    <w:p>
      <w:pPr>
        <w:spacing w:line="500" w:lineRule="exact"/>
        <w:ind w:firstLine="560" w:firstLineChars="200"/>
        <w:jc w:val="left"/>
        <w:rPr>
          <w:rFonts w:ascii="Times New Roman" w:eastAsia="方正仿宋_GBK"/>
          <w:sz w:val="28"/>
        </w:rPr>
      </w:pPr>
      <w:r>
        <w:rPr>
          <w:rFonts w:ascii="Times New Roman" w:eastAsia="方正仿宋_GBK"/>
          <w:sz w:val="28"/>
        </w:rPr>
        <w:t>9</w:t>
      </w:r>
      <w:r>
        <w:rPr>
          <w:rFonts w:hint="eastAsia" w:ascii="Times New Roman" w:eastAsia="方正仿宋_GBK"/>
          <w:sz w:val="28"/>
        </w:rPr>
        <w:t>、社会服务和劳动保障方面</w:t>
      </w:r>
    </w:p>
    <w:p>
      <w:pPr>
        <w:spacing w:line="500" w:lineRule="exact"/>
        <w:ind w:firstLine="560" w:firstLineChars="200"/>
        <w:jc w:val="left"/>
        <w:rPr>
          <w:rFonts w:ascii="Times New Roman" w:eastAsia="方正仿宋_GBK"/>
          <w:sz w:val="28"/>
        </w:rPr>
      </w:pPr>
      <w:r>
        <w:rPr>
          <w:rFonts w:ascii="Times New Roman" w:eastAsia="方正仿宋_GBK"/>
          <w:sz w:val="28"/>
        </w:rPr>
        <w:t>负责辖区内各类社会保险经办服务工作和社会保险信息采集及档案管理工作；做好对享受社会保险待遇人员的日常资格认证工作；负责辖区内用人单位劳动力市场价位、企业薪酬调查和用工备案信息搜集和初审工作。</w:t>
      </w:r>
    </w:p>
    <w:p>
      <w:pPr>
        <w:spacing w:line="500" w:lineRule="exact"/>
        <w:ind w:firstLine="560" w:firstLineChars="200"/>
        <w:jc w:val="left"/>
        <w:rPr>
          <w:rFonts w:ascii="Times New Roman" w:eastAsia="方正仿宋_GBK"/>
          <w:sz w:val="28"/>
        </w:rPr>
      </w:pPr>
      <w:r>
        <w:rPr>
          <w:rFonts w:ascii="Times New Roman" w:eastAsia="方正仿宋_GBK"/>
          <w:sz w:val="28"/>
        </w:rPr>
        <w:t>10</w:t>
      </w:r>
      <w:r>
        <w:rPr>
          <w:rFonts w:hint="eastAsia" w:ascii="Times New Roman" w:eastAsia="方正仿宋_GBK"/>
          <w:sz w:val="28"/>
        </w:rPr>
        <w:t>、</w:t>
      </w:r>
      <w:r>
        <w:rPr>
          <w:rFonts w:ascii="Times New Roman" w:eastAsia="方正仿宋_GBK"/>
          <w:sz w:val="28"/>
        </w:rPr>
        <w:t>水体大气污染防治方面。</w:t>
      </w:r>
    </w:p>
    <w:p>
      <w:pPr>
        <w:spacing w:line="500" w:lineRule="exact"/>
        <w:ind w:firstLine="560" w:firstLineChars="200"/>
        <w:jc w:val="left"/>
        <w:rPr>
          <w:rFonts w:ascii="Times New Roman" w:eastAsia="方正仿宋_GBK"/>
          <w:sz w:val="28"/>
        </w:rPr>
      </w:pPr>
      <w:r>
        <w:rPr>
          <w:rFonts w:ascii="Times New Roman" w:eastAsia="方正仿宋_GBK"/>
          <w:sz w:val="28"/>
        </w:rPr>
        <w:t>文新污水处理厂有效控制污染源检测，保障出水达到城镇污水污染物排放标准</w:t>
      </w:r>
    </w:p>
    <w:p>
      <w:pPr>
        <w:spacing w:line="500" w:lineRule="exact"/>
        <w:ind w:firstLine="560" w:firstLineChars="200"/>
        <w:jc w:val="left"/>
        <w:rPr>
          <w:rFonts w:ascii="Times New Roman" w:eastAsia="方正仿宋_GBK"/>
          <w:sz w:val="28"/>
        </w:rPr>
      </w:pPr>
      <w:r>
        <w:rPr>
          <w:rFonts w:ascii="Times New Roman" w:eastAsia="方正仿宋_GBK"/>
          <w:sz w:val="28"/>
        </w:rPr>
        <w:t>防止大气污染，以改善大气环境质量为目标，坚持源头治理，加强对燃煤、工业、扬尘等大气污染的综合防治。</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r>
        <w:rPr>
          <w:rFonts w:ascii="Times New Roman" w:eastAsia="方正仿宋_GBK"/>
          <w:sz w:val="28"/>
        </w:rPr>
        <w:t>11</w:t>
      </w:r>
      <w:r>
        <w:rPr>
          <w:rFonts w:hint="eastAsia" w:ascii="Times New Roman" w:eastAsia="方正仿宋_GBK"/>
          <w:sz w:val="28"/>
        </w:rPr>
        <w:t>、农村环境整治</w:t>
      </w:r>
    </w:p>
    <w:p>
      <w:pPr>
        <w:spacing w:line="500" w:lineRule="exact"/>
        <w:ind w:firstLine="560" w:firstLineChars="200"/>
        <w:jc w:val="left"/>
        <w:rPr>
          <w:rFonts w:ascii="Times New Roman" w:eastAsia="方正仿宋_GBK"/>
          <w:sz w:val="28"/>
        </w:rPr>
      </w:pPr>
      <w:r>
        <w:rPr>
          <w:rFonts w:ascii="Times New Roman" w:eastAsia="方正仿宋_GBK"/>
          <w:sz w:val="28"/>
        </w:rPr>
        <w:t>为百姓谋福利，真正为群众办实事宗旨，通过组织大型设备和人员集中对辖区内主干道两侧及坑塘、沟渠、河道进行清理，改善街道的整体环境，为村民提升环境居住舒适度，使群众满意度幸福指数提高。</w:t>
      </w:r>
    </w:p>
    <w:p>
      <w:pPr>
        <w:spacing w:line="584" w:lineRule="exact"/>
        <w:ind w:firstLine="472" w:firstLineChars="147"/>
        <w:rPr>
          <w:rFonts w:ascii="楷体_GB2312" w:hAnsi="黑体" w:eastAsia="楷体_GB2312"/>
          <w:b/>
          <w:sz w:val="32"/>
          <w:szCs w:val="32"/>
        </w:rPr>
      </w:pPr>
      <w:r>
        <w:rPr>
          <w:rFonts w:hint="eastAsia" w:ascii="楷体_GB2312" w:hAnsi="黑体" w:eastAsia="楷体_GB2312"/>
          <w:b/>
          <w:sz w:val="32"/>
          <w:szCs w:val="32"/>
        </w:rPr>
        <w:t>（三）工作保障措施</w:t>
      </w:r>
    </w:p>
    <w:p>
      <w:pPr>
        <w:spacing w:line="500" w:lineRule="exact"/>
        <w:ind w:firstLine="560" w:firstLineChars="200"/>
        <w:jc w:val="left"/>
        <w:rPr>
          <w:rFonts w:ascii="Times New Roman" w:eastAsia="方正仿宋_GBK"/>
          <w:sz w:val="28"/>
        </w:rPr>
      </w:pPr>
      <w:r>
        <w:rPr>
          <w:rFonts w:ascii="Times New Roman" w:eastAsia="方正仿宋_GBK"/>
          <w:sz w:val="28"/>
        </w:rPr>
        <w:t>新镇镇人民政府强化保障措施，确保2020年年度目标圆满完成。</w:t>
      </w:r>
    </w:p>
    <w:p>
      <w:pPr>
        <w:spacing w:line="500" w:lineRule="exact"/>
        <w:ind w:firstLine="560" w:firstLineChars="200"/>
        <w:jc w:val="left"/>
        <w:rPr>
          <w:rFonts w:ascii="Times New Roman" w:eastAsia="方正仿宋_GBK"/>
          <w:sz w:val="28"/>
        </w:rPr>
      </w:pPr>
      <w:r>
        <w:rPr>
          <w:rFonts w:hint="eastAsia" w:ascii="Times New Roman" w:eastAsia="方正仿宋_GBK"/>
          <w:sz w:val="28"/>
        </w:rPr>
        <w:t>1、</w:t>
      </w:r>
      <w:r>
        <w:rPr>
          <w:rFonts w:ascii="Times New Roman" w:eastAsia="方正仿宋_GBK"/>
          <w:sz w:val="28"/>
        </w:rPr>
        <w:t>完善制度建设加强干部队伍建设，发挥党员先锋作用</w:t>
      </w:r>
    </w:p>
    <w:p>
      <w:pPr>
        <w:spacing w:line="500" w:lineRule="exact"/>
        <w:ind w:firstLine="560" w:firstLineChars="200"/>
        <w:jc w:val="left"/>
        <w:rPr>
          <w:rFonts w:ascii="Times New Roman" w:eastAsia="方正仿宋_GBK"/>
          <w:sz w:val="28"/>
        </w:rPr>
      </w:pPr>
      <w:r>
        <w:rPr>
          <w:rFonts w:ascii="Times New Roman" w:eastAsia="方正仿宋_GBK"/>
          <w:sz w:val="28"/>
        </w:rPr>
        <w:t>镇党委要坚持立党为公、执政为民的理念，严格执行民主集中制，落实中心组学习制度，加强维护班子团结，打造一支整治过硬、领导有方、业务精干的党委班子队伍。定期加强党组织活动，落实“三会一课”制度，扎实做好党员的教育、学习工作，保持党员队伍的先进性。</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eastAsia="方正仿宋_GBK"/>
          <w:sz w:val="28"/>
        </w:rPr>
        <w:t>、加强支出管理</w:t>
      </w:r>
    </w:p>
    <w:p>
      <w:pPr>
        <w:spacing w:line="500" w:lineRule="exact"/>
        <w:ind w:firstLine="560" w:firstLineChars="200"/>
        <w:jc w:val="left"/>
        <w:rPr>
          <w:rFonts w:ascii="Times New Roman" w:eastAsia="方正仿宋_GBK"/>
          <w:sz w:val="28"/>
        </w:rPr>
      </w:pPr>
      <w:r>
        <w:rPr>
          <w:rFonts w:hint="eastAsia" w:ascii="Times New Roman" w:eastAsia="方正仿宋_GBK"/>
          <w:sz w:val="28"/>
        </w:rPr>
        <w:t>通过优化支出结构、编细编实预算、加快履行政府采购手续、尽快启动项目、及时支付资金、</w:t>
      </w:r>
      <w:r>
        <w:rPr>
          <w:rFonts w:ascii="Times New Roman" w:eastAsia="方正仿宋_GBK"/>
          <w:sz w:val="28"/>
        </w:rPr>
        <w:t xml:space="preserve">6 </w:t>
      </w:r>
      <w:r>
        <w:rPr>
          <w:rFonts w:hint="eastAsia" w:ascii="Times New Roman" w:eastAsia="方正仿宋_GBK"/>
          <w:sz w:val="28"/>
        </w:rPr>
        <w:t>月底前细化代编预算、按规定及时下达资金等多种措施，确保支出进度达标。</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eastAsia="方正仿宋_GBK"/>
          <w:sz w:val="28"/>
        </w:rPr>
        <w:t>、加强绩效运行监控</w:t>
      </w:r>
    </w:p>
    <w:p>
      <w:pPr>
        <w:spacing w:line="500" w:lineRule="exact"/>
        <w:ind w:firstLine="560" w:firstLineChars="200"/>
        <w:jc w:val="left"/>
        <w:rPr>
          <w:rFonts w:ascii="Times New Roman" w:eastAsia="方正仿宋_GBK"/>
          <w:sz w:val="28"/>
        </w:rPr>
      </w:pPr>
      <w:r>
        <w:rPr>
          <w:rFonts w:hint="eastAsia" w:ascii="Times New Roman" w:eastAsia="方正仿宋_GBK"/>
          <w:sz w:val="28"/>
        </w:rPr>
        <w:t>按要求开展绩效运行监控，发现问题及时采取措施，确保绩效目标如期保质实现。</w:t>
      </w:r>
    </w:p>
    <w:p>
      <w:pPr>
        <w:spacing w:line="500" w:lineRule="exact"/>
        <w:ind w:firstLine="420" w:firstLineChars="150"/>
        <w:jc w:val="left"/>
        <w:rPr>
          <w:rFonts w:ascii="Times New Roman" w:eastAsia="方正仿宋_GBK"/>
          <w:sz w:val="28"/>
        </w:rPr>
      </w:pPr>
      <w:r>
        <w:rPr>
          <w:rFonts w:ascii="Times New Roman" w:eastAsia="方正仿宋_GBK"/>
          <w:sz w:val="28"/>
        </w:rPr>
        <w:t>4</w:t>
      </w:r>
      <w:r>
        <w:rPr>
          <w:rFonts w:hint="eastAsia" w:ascii="Times New Roman" w:eastAsia="方正仿宋_GBK"/>
          <w:sz w:val="28"/>
        </w:rPr>
        <w:t>、做好绩效自评</w:t>
      </w:r>
    </w:p>
    <w:p>
      <w:pPr>
        <w:spacing w:line="500" w:lineRule="exact"/>
        <w:ind w:firstLine="560" w:firstLineChars="200"/>
        <w:jc w:val="left"/>
        <w:rPr>
          <w:rFonts w:ascii="Times New Roman" w:eastAsia="方正仿宋_GBK"/>
          <w:sz w:val="28"/>
        </w:rPr>
      </w:pPr>
      <w:r>
        <w:rPr>
          <w:rFonts w:hint="eastAsia" w:ascii="Times New Roman" w:eastAsia="方正仿宋_GBK"/>
          <w:sz w:val="28"/>
        </w:rPr>
        <w:t>按要求开展上年度部门预算绩效自评和重点评价工作，对评价中发现的问题及时整改，调整优化支出结构，提高财政资金使用效益。</w:t>
      </w:r>
    </w:p>
    <w:p>
      <w:pPr>
        <w:spacing w:line="500" w:lineRule="exact"/>
        <w:ind w:firstLine="420" w:firstLineChars="150"/>
        <w:jc w:val="left"/>
        <w:rPr>
          <w:rFonts w:ascii="Times New Roman" w:eastAsia="方正仿宋_GBK"/>
          <w:sz w:val="28"/>
        </w:rPr>
      </w:pPr>
      <w:r>
        <w:rPr>
          <w:rFonts w:ascii="Times New Roman" w:eastAsia="方正仿宋_GBK"/>
          <w:sz w:val="28"/>
        </w:rPr>
        <w:t>5</w:t>
      </w:r>
      <w:r>
        <w:rPr>
          <w:rFonts w:hint="eastAsia" w:ascii="Times New Roman" w:eastAsia="方正仿宋_GBK"/>
          <w:sz w:val="28"/>
        </w:rPr>
        <w:t>、规范财务资产管理。</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完善财务管理制度，严格审批程序，加强固定资产登记、使用和报废处置管理，做到支出合理，物尽其用。</w:t>
      </w:r>
    </w:p>
    <w:p>
      <w:pPr>
        <w:spacing w:line="500" w:lineRule="exact"/>
        <w:ind w:firstLine="420" w:firstLineChars="150"/>
        <w:jc w:val="left"/>
        <w:rPr>
          <w:rFonts w:ascii="Times New Roman" w:eastAsia="方正仿宋_GBK"/>
          <w:sz w:val="28"/>
        </w:rPr>
      </w:pPr>
      <w:r>
        <w:rPr>
          <w:rFonts w:ascii="Times New Roman" w:eastAsia="方正仿宋_GBK"/>
          <w:sz w:val="28"/>
        </w:rPr>
        <w:t>6</w:t>
      </w:r>
      <w:r>
        <w:rPr>
          <w:rFonts w:hint="eastAsia" w:ascii="Times New Roman" w:eastAsia="方正仿宋_GBK"/>
          <w:sz w:val="28"/>
        </w:rPr>
        <w:t>、加强内部监督</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420" w:firstLineChars="150"/>
        <w:jc w:val="left"/>
        <w:rPr>
          <w:rFonts w:ascii="Times New Roman" w:eastAsia="方正仿宋_GBK"/>
          <w:sz w:val="28"/>
        </w:rPr>
      </w:pPr>
      <w:r>
        <w:rPr>
          <w:rFonts w:ascii="Times New Roman" w:eastAsia="方正仿宋_GBK"/>
          <w:sz w:val="28"/>
        </w:rPr>
        <w:t>7</w:t>
      </w:r>
      <w:r>
        <w:rPr>
          <w:rFonts w:hint="eastAsia" w:ascii="Times New Roman" w:eastAsia="方正仿宋_GBK"/>
          <w:sz w:val="28"/>
        </w:rPr>
        <w:t>、加强宣传培训调研</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加强人员培训，提高本部门职工业务素质；加强调研，提出优化财政资金配置、提高资金使用效益的意见意见；加大宣传力度，强化预算绩效管理意识，促进预算绩效管理水平进一步提升。</w:t>
      </w:r>
    </w:p>
    <w:p>
      <w:pPr>
        <w:spacing w:line="500" w:lineRule="exact"/>
        <w:ind w:firstLine="560" w:firstLineChars="200"/>
        <w:jc w:val="left"/>
        <w:rPr>
          <w:rFonts w:ascii="Times New Roman" w:eastAsia="方正仿宋_GBK"/>
          <w:sz w:val="28"/>
        </w:rPr>
      </w:pPr>
    </w:p>
    <w:p>
      <w:pPr>
        <w:spacing w:line="584" w:lineRule="exact"/>
        <w:ind w:firstLine="640" w:firstLineChars="200"/>
        <w:rPr>
          <w:rFonts w:ascii="Times New Roman" w:hAnsi="黑体" w:eastAsia="黑体"/>
          <w:sz w:val="32"/>
          <w:szCs w:val="32"/>
        </w:rPr>
      </w:pPr>
      <w:r>
        <w:rPr>
          <w:rFonts w:hint="eastAsia" w:ascii="Times New Roman" w:hAnsi="黑体" w:eastAsia="黑体"/>
          <w:sz w:val="32"/>
          <w:szCs w:val="32"/>
        </w:rPr>
        <w:t>第二部分</w:t>
      </w:r>
      <w:r>
        <w:rPr>
          <w:rFonts w:ascii="Times New Roman" w:hAnsi="黑体" w:eastAsia="黑体"/>
          <w:sz w:val="32"/>
          <w:szCs w:val="32"/>
        </w:rPr>
        <w:t xml:space="preserve"> </w:t>
      </w:r>
      <w:r>
        <w:rPr>
          <w:rFonts w:hint="eastAsia" w:ascii="Times New Roman" w:hAnsi="黑体" w:eastAsia="黑体"/>
          <w:sz w:val="32"/>
          <w:szCs w:val="32"/>
        </w:rPr>
        <w:t>资金绩效目标</w:t>
      </w:r>
    </w:p>
    <w:p>
      <w:pPr>
        <w:spacing w:line="300" w:lineRule="exact"/>
        <w:ind w:firstLine="360" w:firstLineChars="200"/>
        <w:jc w:val="left"/>
        <w:rPr>
          <w:rFonts w:hint="eastAsia" w:ascii="宋体" w:cs="宋体"/>
          <w:sz w:val="18"/>
          <w:szCs w:val="18"/>
        </w:rPr>
      </w:pPr>
    </w:p>
    <w:p>
      <w:pPr>
        <w:spacing w:line="300" w:lineRule="exact"/>
        <w:ind w:firstLine="360" w:firstLineChars="200"/>
        <w:jc w:val="left"/>
        <w:rPr>
          <w:rFonts w:hint="eastAsia" w:ascii="宋体" w:cs="宋体"/>
          <w:sz w:val="18"/>
          <w:szCs w:val="18"/>
        </w:rPr>
      </w:pPr>
    </w:p>
    <w:p>
      <w:pPr>
        <w:spacing w:line="300" w:lineRule="exact"/>
        <w:ind w:firstLine="360" w:firstLineChars="200"/>
        <w:jc w:val="left"/>
        <w:rPr>
          <w:rFonts w:hint="eastAsia" w:ascii="宋体" w:cs="宋体"/>
          <w:sz w:val="18"/>
          <w:szCs w:val="18"/>
        </w:rPr>
      </w:pPr>
    </w:p>
    <w:p>
      <w:pPr>
        <w:ind w:firstLine="562" w:firstLineChars="200"/>
        <w:jc w:val="left"/>
        <w:outlineLvl w:val="1"/>
        <w:rPr>
          <w:rFonts w:ascii="Times New Roman" w:hAnsi="宋体"/>
          <w:b/>
          <w:sz w:val="28"/>
        </w:rPr>
      </w:pPr>
      <w:r>
        <w:rPr>
          <w:rFonts w:hint="eastAsia" w:ascii="方正仿宋_GBK" w:eastAsia="方正仿宋_GBK"/>
          <w:b/>
          <w:sz w:val="28"/>
        </w:rPr>
        <w:t>1、其他城市基础设施配套建设资金绩效目标表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0" w:name="_Toc33373882"/>
      <w:r>
        <w:rPr>
          <w:rFonts w:hint="eastAsia" w:ascii="方正仿宋_GBK" w:eastAsia="方正仿宋_GBK"/>
          <w:b/>
          <w:sz w:val="28"/>
        </w:rPr>
        <w:instrText xml:space="preserve">1、其他城市基础设施配套建设资金绩效目标表</w:instrText>
      </w:r>
      <w:bookmarkEnd w:id="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211003</w:t>
            </w:r>
            <w:r>
              <w:rPr>
                <w:rFonts w:hint="eastAsia" w:ascii="方正书宋_GBK" w:eastAsia="方正书宋_GBK"/>
                <w:b/>
              </w:rPr>
              <w:t>文安县新镇镇政府办公室</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211-1401-YBN-6C9P</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其他城市基础设施配套建设资金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保障我镇环境综合整治再次提高和政府正常运转，为进一步打造干净整洁的生活环境，恳请县财政局拨付城市基础设施配套建设资金</w:t>
            </w:r>
            <w:r>
              <w:rPr>
                <w:rFonts w:ascii="方正书宋_GBK" w:eastAsia="方正书宋_GBK"/>
              </w:rPr>
              <w:t>2000000</w:t>
            </w:r>
            <w:r>
              <w:rPr>
                <w:rFonts w:hint="eastAsia"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、保证城区街道清理及时、绿化美化工作得到有力保障。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、保证公共设施及时维护和相关建设的顺利进行。</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配套设施完成率（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实际完成配套设施量占计划完成配套设施量的比率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重点污染治理工程数量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完成的重点污染治理工程数量</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试点、示范区域村庄垃圾收集、处理率（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试点、示范区域村庄垃圾收集、处理完成情况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重点污染物降低率（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重点污染物同比降低的比率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调查中满意和较满意的群众人数占全部调查人数的比率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能够长期较好地开展展演、展映、展播、展示，长期满足人民群众对精神文化的需求。</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hint="eastAsia"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2、文安文新污水处理厂第二标段污水管网工程绩效目标表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33373883"/>
      <w:r>
        <w:rPr>
          <w:rFonts w:hint="eastAsia" w:ascii="方正仿宋_GBK" w:eastAsia="方正仿宋_GBK"/>
          <w:b/>
          <w:sz w:val="28"/>
        </w:rPr>
        <w:instrText xml:space="preserve">2、文安文新污水处理厂第二标段污水管网工程绩效目标表</w:instrText>
      </w:r>
      <w:bookmarkEnd w:id="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211003</w:t>
            </w:r>
            <w:r>
              <w:rPr>
                <w:rFonts w:hint="eastAsia" w:ascii="方正书宋_GBK" w:eastAsia="方正书宋_GBK"/>
                <w:b/>
              </w:rPr>
              <w:t>文安县新镇镇政府办公室</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211-1401-YBN-1SEA</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文安文新污水处理厂第二标段污水管网工程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7356185.00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7356185.00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文安县文新污水处理厂第二标段污水管网工程总长</w:t>
            </w:r>
            <w:r>
              <w:rPr>
                <w:rFonts w:ascii="方正书宋_GBK" w:eastAsia="方正书宋_GBK"/>
              </w:rPr>
              <w:t>6.56</w:t>
            </w:r>
            <w:r>
              <w:rPr>
                <w:rFonts w:hint="eastAsia" w:ascii="方正书宋_GBK" w:eastAsia="方正书宋_GBK"/>
              </w:rPr>
              <w:t>公里，主要收集新镇镇区</w:t>
            </w:r>
            <w:r>
              <w:rPr>
                <w:rFonts w:ascii="方正书宋_GBK" w:eastAsia="方正书宋_GBK"/>
              </w:rPr>
              <w:t>.</w:t>
            </w:r>
            <w:r>
              <w:rPr>
                <w:rFonts w:hint="eastAsia" w:ascii="方正书宋_GBK" w:eastAsia="方正书宋_GBK"/>
              </w:rPr>
              <w:t>鹿町小区</w:t>
            </w:r>
            <w:r>
              <w:rPr>
                <w:rFonts w:ascii="方正书宋_GBK" w:eastAsia="方正书宋_GBK"/>
              </w:rPr>
              <w:t>.</w:t>
            </w:r>
            <w:r>
              <w:rPr>
                <w:rFonts w:hint="eastAsia" w:ascii="方正书宋_GBK" w:eastAsia="方正书宋_GBK"/>
              </w:rPr>
              <w:t>锦绣新城小区等生活污水提供污水处理厂基础设施维护和日常和维护工作。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、新污水处理厂第二标段污水管网工程总长</w:t>
            </w:r>
            <w:r>
              <w:rPr>
                <w:rFonts w:ascii="方正书宋_GBK" w:eastAsia="方正书宋_GBK"/>
              </w:rPr>
              <w:t>6.56</w:t>
            </w:r>
            <w:r>
              <w:rPr>
                <w:rFonts w:hint="eastAsia" w:ascii="方正书宋_GBK" w:eastAsia="方正书宋_GBK"/>
              </w:rPr>
              <w:t>公里，主要收集新镇镇区、鹿町小区、锦绣新城小区等生活污水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、提高污水处理系统保障我镇用水质量。</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村内新增泵站村内污水治理设施购建</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村内人畜饮用水工程修建数量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座</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文发核字</w:t>
            </w:r>
            <w:r>
              <w:rPr>
                <w:rFonts w:ascii="方正书宋_GBK" w:eastAsia="方正书宋_GBK"/>
              </w:rPr>
              <w:t>{2017}1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按要求完成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项目（工程）验收合格率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文发核字</w:t>
            </w:r>
            <w:r>
              <w:rPr>
                <w:rFonts w:ascii="方正书宋_GBK" w:eastAsia="方正书宋_GBK"/>
              </w:rPr>
              <w:t>{2017}1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项目（工程）完成及时率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文发核字</w:t>
            </w:r>
            <w:r>
              <w:rPr>
                <w:rFonts w:ascii="方正书宋_GBK" w:eastAsia="方正书宋_GBK"/>
              </w:rPr>
              <w:t>{2017}1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村容村貌改善情况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村内街道硬化增长率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文发核字</w:t>
            </w:r>
            <w:r>
              <w:rPr>
                <w:rFonts w:ascii="方正书宋_GBK" w:eastAsia="方正书宋_GBK"/>
              </w:rPr>
              <w:t>{2017}1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工程使用年限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生活污水处理增长率解决人畜饮水安全问题增加人数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年</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文发核字</w:t>
            </w:r>
            <w:r>
              <w:rPr>
                <w:rFonts w:ascii="方正书宋_GBK" w:eastAsia="方正书宋_GBK"/>
              </w:rPr>
              <w:t>{2017}1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水体质量达标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水质同比增长，明显提高</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文发核字</w:t>
            </w:r>
            <w:r>
              <w:rPr>
                <w:rFonts w:ascii="方正书宋_GBK" w:eastAsia="方正书宋_GBK"/>
              </w:rPr>
              <w:t>{2017}1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对本村群众及周边群众调查问卷满意率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3、文安县文新污水处理厂5000t/d污水处理工作增量绩效目标表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33373884"/>
      <w:r>
        <w:rPr>
          <w:rFonts w:hint="eastAsia" w:ascii="方正仿宋_GBK" w:eastAsia="方正仿宋_GBK"/>
          <w:b/>
          <w:sz w:val="28"/>
        </w:rPr>
        <w:instrText xml:space="preserve">3、文安县文新污水处理厂5000t/d污水处理工作增量绩效目标表</w:instrText>
      </w:r>
      <w:bookmarkEnd w:id="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211003</w:t>
            </w:r>
            <w:r>
              <w:rPr>
                <w:rFonts w:hint="eastAsia" w:ascii="方正书宋_GBK" w:eastAsia="方正书宋_GBK"/>
                <w:b/>
              </w:rPr>
              <w:t>文安县新镇镇政府办公室</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211-1401-YBN-XRFL</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文安县文新污水处理厂</w:t>
            </w:r>
            <w:r>
              <w:rPr>
                <w:rFonts w:ascii="方正书宋_GBK" w:eastAsia="方正书宋_GBK"/>
              </w:rPr>
              <w:t>5000t/d</w:t>
            </w:r>
            <w:r>
              <w:rPr>
                <w:rFonts w:hint="eastAsia" w:ascii="方正书宋_GBK" w:eastAsia="方正书宋_GBK"/>
              </w:rPr>
              <w:t>污水处理工作增量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800000.00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800000.00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文安县文新污水处理厂</w:t>
            </w:r>
            <w:r>
              <w:rPr>
                <w:rFonts w:ascii="方正书宋_GBK" w:eastAsia="方正书宋_GBK"/>
              </w:rPr>
              <w:t>5000t/d</w:t>
            </w:r>
            <w:r>
              <w:rPr>
                <w:rFonts w:hint="eastAsia" w:ascii="方正书宋_GBK" w:eastAsia="方正书宋_GBK"/>
              </w:rPr>
              <w:t>污水处理工程新增化验室设备、药品、采暖锅炉、电动门、回流管网、</w:t>
            </w:r>
            <w:r>
              <w:rPr>
                <w:rFonts w:ascii="方正书宋_GBK" w:eastAsia="方正书宋_GBK"/>
              </w:rPr>
              <w:t>600</w:t>
            </w:r>
            <w:r>
              <w:rPr>
                <w:rFonts w:hint="eastAsia" w:ascii="方正书宋_GBK" w:eastAsia="方正书宋_GBK"/>
              </w:rPr>
              <w:t>米深水井安装及配套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、为保证文新污水处理厂土建工程项目建设顺利实施</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、为保证文新污水处理厂土建工程项目建设顺利实施</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厂内人畜饮用水工程修建数量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村内人畜饮用水工程修建数量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36</w:t>
            </w:r>
            <w:r>
              <w:rPr>
                <w:rFonts w:hint="eastAsia" w:ascii="方正书宋_GBK" w:eastAsia="方正书宋_GBK"/>
              </w:rPr>
              <w:t>座</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文发改【</w:t>
            </w:r>
            <w:r>
              <w:rPr>
                <w:rFonts w:ascii="方正书宋_GBK" w:eastAsia="方正书宋_GBK"/>
              </w:rPr>
              <w:t>2013</w:t>
            </w:r>
            <w:r>
              <w:rPr>
                <w:rFonts w:hint="eastAsia" w:ascii="方正书宋_GBK" w:eastAsia="方正书宋_GBK"/>
              </w:rPr>
              <w:t>】</w:t>
            </w:r>
            <w:r>
              <w:rPr>
                <w:rFonts w:ascii="方正书宋_GBK" w:eastAsia="方正书宋_GBK"/>
              </w:rPr>
              <w:t>113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厂内污水治理设施购建</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村内人畜饮用水工程修建数量</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4</w:t>
            </w:r>
            <w:r>
              <w:rPr>
                <w:rFonts w:hint="eastAsia" w:ascii="方正书宋_GBK" w:eastAsia="方正书宋_GBK"/>
              </w:rPr>
              <w:t>座</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文发改【</w:t>
            </w:r>
            <w:r>
              <w:rPr>
                <w:rFonts w:ascii="方正书宋_GBK" w:eastAsia="方正书宋_GBK"/>
              </w:rPr>
              <w:t>2013</w:t>
            </w:r>
            <w:r>
              <w:rPr>
                <w:rFonts w:hint="eastAsia" w:ascii="方正书宋_GBK" w:eastAsia="方正书宋_GBK"/>
              </w:rPr>
              <w:t>】</w:t>
            </w:r>
            <w:r>
              <w:rPr>
                <w:rFonts w:ascii="方正书宋_GBK" w:eastAsia="方正书宋_GBK"/>
              </w:rPr>
              <w:t>113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项目（工程）完成及时率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按照要求时间完工并验收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文发改【</w:t>
            </w:r>
            <w:r>
              <w:rPr>
                <w:rFonts w:ascii="方正书宋_GBK" w:eastAsia="方正书宋_GBK"/>
              </w:rPr>
              <w:t>2013</w:t>
            </w:r>
            <w:r>
              <w:rPr>
                <w:rFonts w:hint="eastAsia" w:ascii="方正书宋_GBK" w:eastAsia="方正书宋_GBK"/>
              </w:rPr>
              <w:t>】</w:t>
            </w:r>
            <w:r>
              <w:rPr>
                <w:rFonts w:ascii="方正书宋_GBK" w:eastAsia="方正书宋_GBK"/>
              </w:rPr>
              <w:t>113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通过实施增量项目促进社会稳定水平逐步提高保证用水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文发改【</w:t>
            </w:r>
            <w:r>
              <w:rPr>
                <w:rFonts w:ascii="方正书宋_GBK" w:eastAsia="方正书宋_GBK"/>
              </w:rPr>
              <w:t>2013</w:t>
            </w:r>
            <w:r>
              <w:rPr>
                <w:rFonts w:hint="eastAsia" w:ascii="方正书宋_GBK" w:eastAsia="方正书宋_GBK"/>
              </w:rPr>
              <w:t>】</w:t>
            </w:r>
            <w:r>
              <w:rPr>
                <w:rFonts w:ascii="方正书宋_GBK" w:eastAsia="方正书宋_GBK"/>
              </w:rPr>
              <w:t>113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带动城乡居民经济发展新增和改善灌溉增加面积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解决新镇镇区、鹿町小区、锦绣新城小区生活污水排放治理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文发改【</w:t>
            </w:r>
            <w:r>
              <w:rPr>
                <w:rFonts w:ascii="方正书宋_GBK" w:eastAsia="方正书宋_GBK"/>
              </w:rPr>
              <w:t>2013</w:t>
            </w:r>
            <w:r>
              <w:rPr>
                <w:rFonts w:hint="eastAsia" w:ascii="方正书宋_GBK" w:eastAsia="方正书宋_GBK"/>
              </w:rPr>
              <w:t>】</w:t>
            </w:r>
            <w:r>
              <w:rPr>
                <w:rFonts w:ascii="方正书宋_GBK" w:eastAsia="方正书宋_GBK"/>
              </w:rPr>
              <w:t>113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对本村群众及周边群众调查问卷满意率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4、文安县污水处理厂污水管网及配套工程（第一标段）绩效目标表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3373885"/>
      <w:r>
        <w:rPr>
          <w:rFonts w:hint="eastAsia" w:ascii="方正仿宋_GBK" w:eastAsia="方正仿宋_GBK"/>
          <w:b/>
          <w:sz w:val="28"/>
        </w:rPr>
        <w:instrText xml:space="preserve">4、文安县污水处理厂污水管网及配套工程（第一标段）绩效目标表</w:instrText>
      </w:r>
      <w:bookmarkEnd w:id="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211003</w:t>
            </w:r>
            <w:r>
              <w:rPr>
                <w:rFonts w:hint="eastAsia" w:ascii="方正书宋_GBK" w:eastAsia="方正书宋_GBK"/>
                <w:b/>
              </w:rPr>
              <w:t>文安县新镇镇政府办公室</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211-1401-YBN-M37A</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文安县污水处理厂污水管网及配套工程（第一标段）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1834492.96</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1834492.96</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县文新污水处理厂污水管网及配套工程（第一标段）总长</w:t>
            </w:r>
            <w:r>
              <w:rPr>
                <w:rFonts w:ascii="方正书宋_GBK" w:eastAsia="方正书宋_GBK"/>
              </w:rPr>
              <w:t>4.5</w:t>
            </w:r>
            <w:r>
              <w:rPr>
                <w:rFonts w:hint="eastAsia" w:ascii="方正书宋_GBK" w:eastAsia="方正书宋_GBK"/>
              </w:rPr>
              <w:t>公里，涉及</w:t>
            </w:r>
            <w:r>
              <w:rPr>
                <w:rFonts w:ascii="方正书宋_GBK" w:eastAsia="方正书宋_GBK"/>
              </w:rPr>
              <w:t>1#</w:t>
            </w:r>
            <w:r>
              <w:rPr>
                <w:rFonts w:hint="eastAsia" w:ascii="方正书宋_GBK" w:eastAsia="方正书宋_GBK"/>
              </w:rPr>
              <w:t>、</w:t>
            </w:r>
            <w:r>
              <w:rPr>
                <w:rFonts w:ascii="方正书宋_GBK" w:eastAsia="方正书宋_GBK"/>
              </w:rPr>
              <w:t>2#</w:t>
            </w:r>
            <w:r>
              <w:rPr>
                <w:rFonts w:hint="eastAsia" w:ascii="方正书宋_GBK" w:eastAsia="方正书宋_GBK"/>
              </w:rPr>
              <w:t>、</w:t>
            </w:r>
            <w:r>
              <w:rPr>
                <w:rFonts w:ascii="方正书宋_GBK" w:eastAsia="方正书宋_GBK"/>
              </w:rPr>
              <w:t>3#</w:t>
            </w:r>
            <w:r>
              <w:rPr>
                <w:rFonts w:hint="eastAsia" w:ascii="方正书宋_GBK" w:eastAsia="方正书宋_GBK"/>
              </w:rPr>
              <w:t>提升泵站，主要收集新钢公寓、周庄子村、东西代村等生活污水县文新污水处理厂第一标段污水管网工程总长</w:t>
            </w:r>
            <w:r>
              <w:rPr>
                <w:rFonts w:ascii="方正书宋_GBK" w:eastAsia="方正书宋_GBK"/>
              </w:rPr>
              <w:t>4.5</w:t>
            </w:r>
            <w:r>
              <w:rPr>
                <w:rFonts w:hint="eastAsia" w:ascii="方正书宋_GBK" w:eastAsia="方正书宋_GBK"/>
              </w:rPr>
              <w:t>公里，全乡镇生活污水提供污水处理厂基础设施维护和日常和维护工作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、文新污水处理厂第一标段污水管网工程总长</w:t>
            </w:r>
            <w:r>
              <w:rPr>
                <w:rFonts w:ascii="方正书宋_GBK" w:eastAsia="方正书宋_GBK"/>
              </w:rPr>
              <w:t>4.5</w:t>
            </w:r>
            <w:r>
              <w:rPr>
                <w:rFonts w:hint="eastAsia" w:ascii="方正书宋_GBK" w:eastAsia="方正书宋_GBK"/>
              </w:rPr>
              <w:t>公里，全乡镇生活污水提供污水处理厂基础设施维护和日常和维护工作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、保障全乡镇生活污水提供污水处理厂基础设施维护和日常和维护工作</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工程修建数量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新建污水管网米数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11.07</w:t>
            </w:r>
            <w:r>
              <w:rPr>
                <w:rFonts w:hint="eastAsia" w:ascii="方正书宋_GBK" w:eastAsia="方正书宋_GBK"/>
              </w:rPr>
              <w:t>千米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文发改字【</w:t>
            </w:r>
            <w:r>
              <w:rPr>
                <w:rFonts w:ascii="方正书宋_GBK" w:eastAsia="方正书宋_GBK"/>
              </w:rPr>
              <w:t>2014</w:t>
            </w:r>
            <w:r>
              <w:rPr>
                <w:rFonts w:hint="eastAsia" w:ascii="方正书宋_GBK" w:eastAsia="方正书宋_GBK"/>
              </w:rPr>
              <w:t>】</w:t>
            </w:r>
            <w:r>
              <w:rPr>
                <w:rFonts w:ascii="方正书宋_GBK" w:eastAsia="方正书宋_GBK"/>
              </w:rPr>
              <w:t>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项目（工程）验收合格率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镇区污水处理明显改善</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2014</w:t>
            </w:r>
            <w:r>
              <w:rPr>
                <w:rFonts w:hint="eastAsia" w:ascii="方正书宋_GBK" w:eastAsia="方正书宋_GBK"/>
              </w:rPr>
              <w:t>】</w:t>
            </w:r>
            <w:r>
              <w:rPr>
                <w:rFonts w:ascii="方正书宋_GBK" w:eastAsia="方正书宋_GBK"/>
              </w:rPr>
              <w:t>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项目（工程）完成及时率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2014</w:t>
            </w:r>
            <w:r>
              <w:rPr>
                <w:rFonts w:hint="eastAsia" w:ascii="方正书宋_GBK" w:eastAsia="方正书宋_GBK"/>
              </w:rPr>
              <w:t>】</w:t>
            </w:r>
            <w:r>
              <w:rPr>
                <w:rFonts w:ascii="方正书宋_GBK" w:eastAsia="方正书宋_GBK"/>
              </w:rPr>
              <w:t>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村容村貌改善情况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解决新镇镇区、鹿町小区、锦绣新城小区生活污水排放治理</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2014</w:t>
            </w:r>
            <w:r>
              <w:rPr>
                <w:rFonts w:hint="eastAsia" w:ascii="方正书宋_GBK" w:eastAsia="方正书宋_GBK"/>
              </w:rPr>
              <w:t>】</w:t>
            </w:r>
            <w:r>
              <w:rPr>
                <w:rFonts w:ascii="方正书宋_GBK" w:eastAsia="方正书宋_GBK"/>
              </w:rPr>
              <w:t>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水体质量达标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水质同比增长，明显提高率</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文发改字【</w:t>
            </w:r>
            <w:r>
              <w:rPr>
                <w:rFonts w:ascii="方正书宋_GBK" w:eastAsia="方正书宋_GBK"/>
              </w:rPr>
              <w:t>2014</w:t>
            </w:r>
            <w:r>
              <w:rPr>
                <w:rFonts w:hint="eastAsia" w:ascii="方正书宋_GBK" w:eastAsia="方正书宋_GBK"/>
              </w:rPr>
              <w:t>】</w:t>
            </w:r>
            <w:r>
              <w:rPr>
                <w:rFonts w:ascii="方正书宋_GBK" w:eastAsia="方正书宋_GBK"/>
              </w:rPr>
              <w:t>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对本村群众及周边群众调查问卷满意率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5、新镇镇106国道新镇段两侧环境整治提升立面改造工程绩效目标表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33373886"/>
      <w:r>
        <w:rPr>
          <w:rFonts w:hint="eastAsia" w:ascii="方正仿宋_GBK" w:eastAsia="方正仿宋_GBK"/>
          <w:b/>
          <w:sz w:val="28"/>
        </w:rPr>
        <w:instrText xml:space="preserve">5、新镇镇106国道新镇段两侧环境整治提升立面改造工程绩效目标表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211003</w:t>
            </w:r>
            <w:r>
              <w:rPr>
                <w:rFonts w:hint="eastAsia" w:ascii="方正书宋_GBK" w:eastAsia="方正书宋_GBK"/>
                <w:b/>
              </w:rPr>
              <w:t>文安县新镇镇政府办公室</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211-1402-YBN-V2QZ</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新镇镇</w:t>
            </w:r>
            <w:r>
              <w:rPr>
                <w:rFonts w:ascii="方正书宋_GBK" w:eastAsia="方正书宋_GBK"/>
              </w:rPr>
              <w:t>106</w:t>
            </w:r>
            <w:r>
              <w:rPr>
                <w:rFonts w:hint="eastAsia" w:ascii="方正书宋_GBK" w:eastAsia="方正书宋_GBK"/>
              </w:rPr>
              <w:t>国道新镇段两侧环境整治提升立面改造工程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9195162.86</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9195162.86</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按照县政府关于西部城乡环境提升工作的总体要求，我镇实施了</w:t>
            </w:r>
            <w:r>
              <w:rPr>
                <w:rFonts w:ascii="方正书宋_GBK" w:eastAsia="方正书宋_GBK"/>
              </w:rPr>
              <w:t>106</w:t>
            </w:r>
            <w:r>
              <w:rPr>
                <w:rFonts w:hint="eastAsia" w:ascii="方正书宋_GBK" w:eastAsia="方正书宋_GBK"/>
              </w:rPr>
              <w:t>国道环境综合治理工程，对</w:t>
            </w:r>
            <w:r>
              <w:rPr>
                <w:rFonts w:ascii="方正书宋_GBK" w:eastAsia="方正书宋_GBK"/>
              </w:rPr>
              <w:t>10.1</w:t>
            </w:r>
            <w:r>
              <w:rPr>
                <w:rFonts w:hint="eastAsia" w:ascii="方正书宋_GBK" w:eastAsia="方正书宋_GBK"/>
              </w:rPr>
              <w:t>公里国道沿线门店、企业、住户立面进行改造提升工作。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、通过项目的开展完成</w:t>
            </w:r>
            <w:r>
              <w:rPr>
                <w:rFonts w:ascii="方正书宋_GBK" w:eastAsia="方正书宋_GBK"/>
              </w:rPr>
              <w:t>106</w:t>
            </w:r>
            <w:r>
              <w:rPr>
                <w:rFonts w:hint="eastAsia" w:ascii="方正书宋_GBK" w:eastAsia="方正书宋_GBK"/>
              </w:rPr>
              <w:t>国道新镇两侧环境整治提升改造，实现西部环境改造提升。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、提高我镇整体环境和我镇</w:t>
            </w:r>
            <w:r>
              <w:rPr>
                <w:rFonts w:ascii="方正书宋_GBK" w:eastAsia="方正书宋_GBK"/>
              </w:rPr>
              <w:t>2000</w:t>
            </w:r>
            <w:r>
              <w:rPr>
                <w:rFonts w:hint="eastAsia" w:ascii="方正书宋_GBK" w:eastAsia="方正书宋_GBK"/>
              </w:rPr>
              <w:t>多人的生活环境。</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更换牌匾面积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按照要求对国道两侧门店牌匾进行更换</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16600</w:t>
            </w:r>
            <w:r>
              <w:rPr>
                <w:rFonts w:hint="eastAsia" w:ascii="方正书宋_GBK" w:eastAsia="方正书宋_GBK"/>
              </w:rPr>
              <w:t>平方米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文新政【</w:t>
            </w:r>
            <w:r>
              <w:rPr>
                <w:rFonts w:ascii="方正书宋_GBK" w:eastAsia="方正书宋_GBK"/>
              </w:rPr>
              <w:t>2018</w:t>
            </w:r>
            <w:r>
              <w:rPr>
                <w:rFonts w:hint="eastAsia" w:ascii="方正书宋_GBK" w:eastAsia="方正书宋_GBK"/>
              </w:rPr>
              <w:t>】</w:t>
            </w:r>
            <w:r>
              <w:rPr>
                <w:rFonts w:ascii="方正书宋_GBK" w:eastAsia="方正书宋_GBK"/>
              </w:rPr>
              <w:t>125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立面墙体粉刷使用年限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涂装干净整洁基层工艺做好，牌匾坚固</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年</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文新政【</w:t>
            </w:r>
            <w:r>
              <w:rPr>
                <w:rFonts w:ascii="方正书宋_GBK" w:eastAsia="方正书宋_GBK"/>
              </w:rPr>
              <w:t>2018</w:t>
            </w:r>
            <w:r>
              <w:rPr>
                <w:rFonts w:hint="eastAsia" w:ascii="方正书宋_GBK" w:eastAsia="方正书宋_GBK"/>
              </w:rPr>
              <w:t>】</w:t>
            </w:r>
            <w:r>
              <w:rPr>
                <w:rFonts w:ascii="方正书宋_GBK" w:eastAsia="方正书宋_GBK"/>
              </w:rPr>
              <w:t>125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按时完工</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按要求完成并验收</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文新政【</w:t>
            </w:r>
            <w:r>
              <w:rPr>
                <w:rFonts w:ascii="方正书宋_GBK" w:eastAsia="方正书宋_GBK"/>
              </w:rPr>
              <w:t>2018</w:t>
            </w:r>
            <w:r>
              <w:rPr>
                <w:rFonts w:hint="eastAsia" w:ascii="方正书宋_GBK" w:eastAsia="方正书宋_GBK"/>
              </w:rPr>
              <w:t>】</w:t>
            </w:r>
            <w:r>
              <w:rPr>
                <w:rFonts w:ascii="方正书宋_GBK" w:eastAsia="方正书宋_GBK"/>
              </w:rPr>
              <w:t>125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整体环境得到改善</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提高我镇整体环境和我镇</w:t>
            </w:r>
            <w:r>
              <w:rPr>
                <w:rFonts w:ascii="方正书宋_GBK" w:eastAsia="方正书宋_GBK"/>
              </w:rPr>
              <w:t>2000</w:t>
            </w:r>
            <w:r>
              <w:rPr>
                <w:rFonts w:hint="eastAsia" w:ascii="方正书宋_GBK" w:eastAsia="方正书宋_GBK"/>
              </w:rPr>
              <w:t>多人的生活环境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文新政【</w:t>
            </w:r>
            <w:r>
              <w:rPr>
                <w:rFonts w:ascii="方正书宋_GBK" w:eastAsia="方正书宋_GBK"/>
              </w:rPr>
              <w:t>2018</w:t>
            </w:r>
            <w:r>
              <w:rPr>
                <w:rFonts w:hint="eastAsia" w:ascii="方正书宋_GBK" w:eastAsia="方正书宋_GBK"/>
              </w:rPr>
              <w:t>】</w:t>
            </w:r>
            <w:r>
              <w:rPr>
                <w:rFonts w:ascii="方正书宋_GBK" w:eastAsia="方正书宋_GBK"/>
              </w:rPr>
              <w:t>125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群众对国道两侧牌匾更换的整体满意度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6、新镇镇“七项重点工作”动态清零攻坚工作经费绩效目标表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3373887"/>
      <w:r>
        <w:rPr>
          <w:rFonts w:hint="eastAsia" w:ascii="方正仿宋_GBK" w:eastAsia="方正仿宋_GBK"/>
          <w:b/>
          <w:sz w:val="28"/>
        </w:rPr>
        <w:instrText xml:space="preserve">6、新镇镇\“七项重点工作\”动态清零攻坚工作经费绩效目标表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211003</w:t>
            </w:r>
            <w:r>
              <w:rPr>
                <w:rFonts w:hint="eastAsia" w:ascii="方正书宋_GBK" w:eastAsia="方正书宋_GBK"/>
                <w:b/>
              </w:rPr>
              <w:t>文安县新镇镇政府办公室</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211-1403-YBN-BZ60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新镇镇</w:t>
            </w:r>
            <w:r>
              <w:rPr>
                <w:rFonts w:hint="cs" w:ascii="方正书宋_GBK" w:eastAsia="方正书宋_GBK"/>
              </w:rPr>
              <w:t>“</w:t>
            </w:r>
            <w:r>
              <w:rPr>
                <w:rFonts w:hint="eastAsia" w:ascii="方正书宋_GBK" w:eastAsia="方正书宋_GBK"/>
              </w:rPr>
              <w:t>七项重点工作</w:t>
            </w:r>
            <w:r>
              <w:rPr>
                <w:rFonts w:hint="cs" w:ascii="方正书宋_GBK" w:eastAsia="方正书宋_GBK"/>
              </w:rPr>
              <w:t>”</w:t>
            </w:r>
            <w:r>
              <w:rPr>
                <w:rFonts w:hint="eastAsia" w:ascii="方正书宋_GBK" w:eastAsia="方正书宋_GBK"/>
              </w:rPr>
              <w:t>动态清零攻坚工作经费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234500.00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234500.00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为确保县委县政府确定的</w:t>
            </w:r>
            <w:r>
              <w:rPr>
                <w:rFonts w:hint="cs" w:ascii="方正书宋_GBK" w:eastAsia="方正书宋_GBK"/>
              </w:rPr>
              <w:t>“</w:t>
            </w:r>
            <w:r>
              <w:rPr>
                <w:rFonts w:hint="eastAsia" w:ascii="方正书宋_GBK" w:eastAsia="方正书宋_GBK"/>
              </w:rPr>
              <w:t>七项重点工作</w:t>
            </w:r>
            <w:r>
              <w:rPr>
                <w:rFonts w:hint="cs" w:ascii="方正书宋_GBK" w:eastAsia="方正书宋_GBK"/>
              </w:rPr>
              <w:t>”</w:t>
            </w:r>
            <w:r>
              <w:rPr>
                <w:rFonts w:hint="eastAsia" w:ascii="方正书宋_GBK" w:eastAsia="方正书宋_GBK"/>
              </w:rPr>
              <w:t>动态清零攻坚工作顺利开展，经研究，现提前下达你单位</w:t>
            </w:r>
            <w:r>
              <w:rPr>
                <w:rFonts w:ascii="方正书宋_GBK" w:eastAsia="方正书宋_GBK"/>
              </w:rPr>
              <w:t>2020</w:t>
            </w:r>
            <w:r>
              <w:rPr>
                <w:rFonts w:hint="eastAsia" w:ascii="方正书宋_GBK" w:eastAsia="方正书宋_GBK"/>
              </w:rPr>
              <w:t>年</w:t>
            </w:r>
            <w:r>
              <w:rPr>
                <w:rFonts w:hint="cs" w:ascii="方正书宋_GBK" w:eastAsia="方正书宋_GBK"/>
              </w:rPr>
              <w:t>“</w:t>
            </w:r>
            <w:r>
              <w:rPr>
                <w:rFonts w:hint="eastAsia" w:ascii="方正书宋_GBK" w:eastAsia="方正书宋_GBK"/>
              </w:rPr>
              <w:t>七项重点工作</w:t>
            </w:r>
            <w:r>
              <w:rPr>
                <w:rFonts w:hint="cs" w:ascii="方正书宋_GBK" w:eastAsia="方正书宋_GBK"/>
              </w:rPr>
              <w:t>”</w:t>
            </w:r>
            <w:r>
              <w:rPr>
                <w:rFonts w:hint="eastAsia" w:ascii="方正书宋_GBK" w:eastAsia="方正书宋_GBK"/>
              </w:rPr>
              <w:t>动态清零攻坚工作经费</w:t>
            </w:r>
            <w:r>
              <w:rPr>
                <w:rFonts w:ascii="方正书宋_GBK" w:eastAsia="方正书宋_GBK"/>
              </w:rPr>
              <w:t>234500</w:t>
            </w:r>
            <w:r>
              <w:rPr>
                <w:rFonts w:hint="eastAsia" w:ascii="方正书宋_GBK" w:eastAsia="方正书宋_GBK"/>
              </w:rPr>
              <w:t>元，专项用于县直单位派驻人员开展工作期间发生的交通费、材料费、伙房费等支出。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、确保县委县政府确定的</w:t>
            </w:r>
            <w:r>
              <w:rPr>
                <w:rFonts w:hint="cs" w:ascii="方正书宋_GBK" w:eastAsia="方正书宋_GBK"/>
              </w:rPr>
              <w:t>“</w:t>
            </w:r>
            <w:r>
              <w:rPr>
                <w:rFonts w:hint="eastAsia" w:ascii="方正书宋_GBK" w:eastAsia="方正书宋_GBK"/>
              </w:rPr>
              <w:t>七项重点工作</w:t>
            </w:r>
            <w:r>
              <w:rPr>
                <w:rFonts w:hint="cs" w:ascii="方正书宋_GBK" w:eastAsia="方正书宋_GBK"/>
              </w:rPr>
              <w:t>”</w:t>
            </w:r>
            <w:r>
              <w:rPr>
                <w:rFonts w:hint="eastAsia" w:ascii="方正书宋_GBK" w:eastAsia="方正书宋_GBK"/>
              </w:rPr>
              <w:t>动态清零攻坚工作顺利开展。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、解决县直单位派驻人员开展工作期间发生的交通费、材料费、伙房费等支出。</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支持全省重点公共文化服务工作项目数量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反映支持具有较大影响力文化惠民活动等公共文化服务工作项目情况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文财预【</w:t>
            </w:r>
            <w:r>
              <w:rPr>
                <w:rFonts w:ascii="方正书宋_GBK" w:eastAsia="方正书宋_GBK"/>
              </w:rPr>
              <w:t>2019</w:t>
            </w:r>
            <w:r>
              <w:rPr>
                <w:rFonts w:hint="eastAsia" w:ascii="方正书宋_GBK" w:eastAsia="方正书宋_GBK"/>
              </w:rPr>
              <w:t>】</w:t>
            </w:r>
            <w:r>
              <w:rPr>
                <w:rFonts w:ascii="方正书宋_GBK" w:eastAsia="方正书宋_GBK"/>
              </w:rPr>
              <w:t>22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工作经费支出率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完全用于七项重点工作交通伙食材料支出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文财预【</w:t>
            </w:r>
            <w:r>
              <w:rPr>
                <w:rFonts w:ascii="方正书宋_GBK" w:eastAsia="方正书宋_GBK"/>
              </w:rPr>
              <w:t>2019</w:t>
            </w:r>
            <w:r>
              <w:rPr>
                <w:rFonts w:hint="eastAsia" w:ascii="方正书宋_GBK" w:eastAsia="方正书宋_GBK"/>
              </w:rPr>
              <w:t>】</w:t>
            </w:r>
            <w:r>
              <w:rPr>
                <w:rFonts w:ascii="方正书宋_GBK" w:eastAsia="方正书宋_GBK"/>
              </w:rPr>
              <w:t>22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全省文化产业对国民经济发展的贡献率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反映文化产业对经济发展的拉动作用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文财预【</w:t>
            </w:r>
            <w:r>
              <w:rPr>
                <w:rFonts w:ascii="方正书宋_GBK" w:eastAsia="方正书宋_GBK"/>
              </w:rPr>
              <w:t>2019</w:t>
            </w:r>
            <w:r>
              <w:rPr>
                <w:rFonts w:hint="eastAsia" w:ascii="方正书宋_GBK" w:eastAsia="方正书宋_GBK"/>
              </w:rPr>
              <w:t>】</w:t>
            </w:r>
            <w:r>
              <w:rPr>
                <w:rFonts w:ascii="方正书宋_GBK" w:eastAsia="方正书宋_GBK"/>
              </w:rPr>
              <w:t>22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通过实施七项重点工作促进社会稳定水平逐步提高</w:t>
            </w:r>
            <w:r>
              <w:rPr>
                <w:rFonts w:ascii="方正书宋_GBK" w:eastAsia="方正书宋_GBK"/>
              </w:rPr>
              <w:t xml:space="preserve"> </w:t>
            </w:r>
            <w:r>
              <w:rPr>
                <w:rFonts w:hint="eastAsia" w:ascii="方正书宋_GBK" w:eastAsia="方正书宋_GBK"/>
              </w:rPr>
              <w:t>为工作实施提供经费保障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文财预【</w:t>
            </w:r>
            <w:r>
              <w:rPr>
                <w:rFonts w:ascii="方正书宋_GBK" w:eastAsia="方正书宋_GBK"/>
              </w:rPr>
              <w:t>2019</w:t>
            </w:r>
            <w:r>
              <w:rPr>
                <w:rFonts w:hint="eastAsia" w:ascii="方正书宋_GBK" w:eastAsia="方正书宋_GBK"/>
              </w:rPr>
              <w:t>】</w:t>
            </w:r>
            <w:r>
              <w:rPr>
                <w:rFonts w:ascii="方正书宋_GBK" w:eastAsia="方正书宋_GBK"/>
              </w:rPr>
              <w:t>22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接受基本公共卫生服务的重点人群对基层医疗卫生机构所提供服务的满意程度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文财预【</w:t>
            </w:r>
            <w:r>
              <w:rPr>
                <w:rFonts w:ascii="方正书宋_GBK" w:eastAsia="方正书宋_GBK"/>
              </w:rPr>
              <w:t>2019</w:t>
            </w:r>
            <w:r>
              <w:rPr>
                <w:rFonts w:hint="eastAsia" w:ascii="方正书宋_GBK" w:eastAsia="方正书宋_GBK"/>
              </w:rPr>
              <w:t>】</w:t>
            </w:r>
            <w:r>
              <w:rPr>
                <w:rFonts w:ascii="方正书宋_GBK" w:eastAsia="方正书宋_GBK"/>
              </w:rPr>
              <w:t>22</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7、新镇镇清洁取暖保障经费绩效目标表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33373888"/>
      <w:r>
        <w:rPr>
          <w:rFonts w:hint="eastAsia" w:ascii="方正仿宋_GBK" w:eastAsia="方正仿宋_GBK"/>
          <w:b/>
          <w:sz w:val="28"/>
        </w:rPr>
        <w:instrText xml:space="preserve">7、新镇镇清洁取暖保障经费绩效目标表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211003</w:t>
            </w:r>
            <w:r>
              <w:rPr>
                <w:rFonts w:hint="eastAsia" w:ascii="方正书宋_GBK" w:eastAsia="方正书宋_GBK"/>
                <w:b/>
              </w:rPr>
              <w:t>文安县新镇镇政府办公室</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211-1403-YBN-DD50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新镇镇清洁取暖保障经费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117000.00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117000.00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为确保居民安全过冬温暖过冬，我镇对辖区内气代煤清洁型煤取暖户进行安全排查管理，同时加大了散煤管控整治力度，因我镇所辖村街较多工作繁重，为切实保障居民生命财产安全，清洁取暖各项工作正常开展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、确保我镇居民安全过冬，保障居民生命财产安全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、对我镇散煤加大管控力度，保障气代煤工作顺利进行</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气代煤清洁型取暖户安全排查</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对我镇所辖</w:t>
            </w:r>
            <w:r>
              <w:rPr>
                <w:rFonts w:ascii="方正书宋_GBK" w:eastAsia="方正书宋_GBK"/>
              </w:rPr>
              <w:t>24</w:t>
            </w:r>
            <w:r>
              <w:rPr>
                <w:rFonts w:hint="eastAsia" w:ascii="方正书宋_GBK" w:eastAsia="方正书宋_GBK"/>
              </w:rPr>
              <w:t>村气代煤清洁型煤使用户进行安全排查管理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文新政【</w:t>
            </w:r>
            <w:r>
              <w:rPr>
                <w:rFonts w:ascii="方正书宋_GBK" w:eastAsia="方正书宋_GBK"/>
              </w:rPr>
              <w:t>2019</w:t>
            </w:r>
            <w:r>
              <w:rPr>
                <w:rFonts w:hint="eastAsia" w:ascii="方正书宋_GBK" w:eastAsia="方正书宋_GBK"/>
              </w:rPr>
              <w:t>】</w:t>
            </w:r>
            <w:r>
              <w:rPr>
                <w:rFonts w:ascii="方正书宋_GBK" w:eastAsia="方正书宋_GBK"/>
              </w:rPr>
              <w:t>121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取暖保障率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我镇居民安全过冬保障程度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文新政【</w:t>
            </w:r>
            <w:r>
              <w:rPr>
                <w:rFonts w:ascii="方正书宋_GBK" w:eastAsia="方正书宋_GBK"/>
              </w:rPr>
              <w:t>2019</w:t>
            </w:r>
            <w:r>
              <w:rPr>
                <w:rFonts w:hint="eastAsia" w:ascii="方正书宋_GBK" w:eastAsia="方正书宋_GBK"/>
              </w:rPr>
              <w:t>】</w:t>
            </w:r>
            <w:r>
              <w:rPr>
                <w:rFonts w:ascii="方正书宋_GBK" w:eastAsia="方正书宋_GBK"/>
              </w:rPr>
              <w:t>121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通过保障工作提高确保居民生命财产安全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文新政【</w:t>
            </w:r>
            <w:r>
              <w:rPr>
                <w:rFonts w:ascii="方正书宋_GBK" w:eastAsia="方正书宋_GBK"/>
              </w:rPr>
              <w:t>2019</w:t>
            </w:r>
            <w:r>
              <w:rPr>
                <w:rFonts w:hint="eastAsia" w:ascii="方正书宋_GBK" w:eastAsia="方正书宋_GBK"/>
              </w:rPr>
              <w:t>】</w:t>
            </w:r>
            <w:r>
              <w:rPr>
                <w:rFonts w:ascii="方正书宋_GBK" w:eastAsia="方正书宋_GBK"/>
              </w:rPr>
              <w:t>121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通过实施气代煤散煤管理工作促进社会稳定水平逐步提高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文新政【</w:t>
            </w:r>
            <w:r>
              <w:rPr>
                <w:rFonts w:ascii="方正书宋_GBK" w:eastAsia="方正书宋_GBK"/>
              </w:rPr>
              <w:t>2019</w:t>
            </w:r>
            <w:r>
              <w:rPr>
                <w:rFonts w:hint="eastAsia" w:ascii="方正书宋_GBK" w:eastAsia="方正书宋_GBK"/>
              </w:rPr>
              <w:t>】</w:t>
            </w:r>
            <w:r>
              <w:rPr>
                <w:rFonts w:ascii="方正书宋_GBK" w:eastAsia="方正书宋_GBK"/>
              </w:rPr>
              <w:t>121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群众对散煤排查满意度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群众对过冬安全散煤管理整体满意度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8、新镇周庄子排水干渠周庄子桥重建工程绩效目标表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33373889"/>
      <w:r>
        <w:rPr>
          <w:rFonts w:hint="eastAsia" w:ascii="方正仿宋_GBK" w:eastAsia="方正仿宋_GBK"/>
          <w:b/>
          <w:sz w:val="28"/>
        </w:rPr>
        <w:instrText xml:space="preserve">8、新镇周庄子排水干渠周庄子桥重建工程绩效目标表</w:instrText>
      </w:r>
      <w:bookmarkEnd w:id="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211003</w:t>
            </w:r>
            <w:r>
              <w:rPr>
                <w:rFonts w:hint="eastAsia" w:ascii="方正书宋_GBK" w:eastAsia="方正书宋_GBK"/>
                <w:b/>
              </w:rPr>
              <w:t>文安县新镇镇政府办公室</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211-1401-YBN-C91I</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新镇周庄子排水干渠周庄子桥重建工程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786108.00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786108.00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周庄子桥位于新镇镇周庄子村南，周庄子排水干渠上，始建于</w:t>
            </w:r>
            <w:r>
              <w:rPr>
                <w:rFonts w:ascii="方正书宋_GBK" w:eastAsia="方正书宋_GBK"/>
              </w:rPr>
              <w:t>1972</w:t>
            </w:r>
            <w:r>
              <w:rPr>
                <w:rFonts w:hint="eastAsia" w:ascii="方正书宋_GBK" w:eastAsia="方正书宋_GBK"/>
              </w:rPr>
              <w:t>年，桥长</w:t>
            </w:r>
            <w:r>
              <w:rPr>
                <w:rFonts w:ascii="方正书宋_GBK" w:eastAsia="方正书宋_GBK"/>
              </w:rPr>
              <w:t>20</w:t>
            </w:r>
            <w:r>
              <w:rPr>
                <w:rFonts w:hint="eastAsia" w:ascii="方正书宋_GBK" w:eastAsia="方正书宋_GBK"/>
              </w:rPr>
              <w:t>米，宽</w:t>
            </w:r>
            <w:r>
              <w:rPr>
                <w:rFonts w:ascii="方正书宋_GBK" w:eastAsia="方正书宋_GBK"/>
              </w:rPr>
              <w:t>8</w:t>
            </w:r>
            <w:r>
              <w:rPr>
                <w:rFonts w:hint="eastAsia" w:ascii="方正书宋_GBK" w:eastAsia="方正书宋_GBK"/>
              </w:rPr>
              <w:t>米，梁板柱结构，是周庄子村出行必经之路，年代久远，已破损严重，存在极大安全隐患，拆除重建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、通过该项目的开展实施重建周庄子桥解决周庄子村及周边村落出行问题排除隐患</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、通过重建工程排除了村民出行隐患</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拆除重建桥梁</w:t>
            </w:r>
            <w:r>
              <w:rPr>
                <w:rFonts w:ascii="方正书宋_GBK" w:eastAsia="方正书宋_GBK"/>
              </w:rPr>
              <w:t>1</w:t>
            </w:r>
            <w:r>
              <w:rPr>
                <w:rFonts w:hint="eastAsia" w:ascii="方正书宋_GBK" w:eastAsia="方正书宋_GBK"/>
              </w:rPr>
              <w:t>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拆除旧桥，原址重建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文新政【</w:t>
            </w:r>
            <w:r>
              <w:rPr>
                <w:rFonts w:ascii="方正书宋_GBK" w:eastAsia="方正书宋_GBK"/>
              </w:rPr>
              <w:t>2019</w:t>
            </w:r>
            <w:r>
              <w:rPr>
                <w:rFonts w:hint="eastAsia" w:ascii="方正书宋_GBK" w:eastAsia="方正书宋_GBK"/>
              </w:rPr>
              <w:t>】</w:t>
            </w:r>
            <w:r>
              <w:rPr>
                <w:rFonts w:ascii="方正书宋_GBK" w:eastAsia="方正书宋_GBK"/>
              </w:rPr>
              <w:t>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严格要求桥梁质量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桥面采用</w:t>
            </w:r>
            <w:r>
              <w:rPr>
                <w:rFonts w:ascii="方正书宋_GBK" w:eastAsia="方正书宋_GBK"/>
              </w:rPr>
              <w:t>8cmC30</w:t>
            </w:r>
            <w:r>
              <w:rPr>
                <w:rFonts w:hint="eastAsia" w:ascii="方正书宋_GBK" w:eastAsia="方正书宋_GBK"/>
              </w:rPr>
              <w:t>防水混凝土</w:t>
            </w:r>
            <w:r>
              <w:rPr>
                <w:rFonts w:ascii="方正书宋_GBK" w:eastAsia="方正书宋_GBK"/>
              </w:rPr>
              <w:t xml:space="preserve"> </w:t>
            </w:r>
            <w:r>
              <w:rPr>
                <w:rFonts w:hint="eastAsia" w:ascii="方正书宋_GBK" w:eastAsia="方正书宋_GBK"/>
              </w:rPr>
              <w:t>地基容许承载力要求不小于</w:t>
            </w:r>
            <w:r>
              <w:rPr>
                <w:rFonts w:ascii="方正书宋_GBK" w:eastAsia="方正书宋_GBK"/>
              </w:rPr>
              <w:t>200KPa</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文新政【</w:t>
            </w:r>
            <w:r>
              <w:rPr>
                <w:rFonts w:ascii="方正书宋_GBK" w:eastAsia="方正书宋_GBK"/>
              </w:rPr>
              <w:t>2019</w:t>
            </w:r>
            <w:r>
              <w:rPr>
                <w:rFonts w:hint="eastAsia" w:ascii="方正书宋_GBK" w:eastAsia="方正书宋_GBK"/>
              </w:rPr>
              <w:t>】</w:t>
            </w:r>
            <w:r>
              <w:rPr>
                <w:rFonts w:ascii="方正书宋_GBK" w:eastAsia="方正书宋_GBK"/>
              </w:rPr>
              <w:t>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是否按时完成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工程按照合同日期顺利完工</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文新政【</w:t>
            </w:r>
            <w:r>
              <w:rPr>
                <w:rFonts w:ascii="方正书宋_GBK" w:eastAsia="方正书宋_GBK"/>
              </w:rPr>
              <w:t>2019</w:t>
            </w:r>
            <w:r>
              <w:rPr>
                <w:rFonts w:hint="eastAsia" w:ascii="方正书宋_GBK" w:eastAsia="方正书宋_GBK"/>
              </w:rPr>
              <w:t>】</w:t>
            </w:r>
            <w:r>
              <w:rPr>
                <w:rFonts w:ascii="方正书宋_GBK" w:eastAsia="方正书宋_GBK"/>
              </w:rPr>
              <w:t>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在社会上的反应</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社会反应极高，使人们认识到政府是真正为老百姓服务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文新政【</w:t>
            </w:r>
            <w:r>
              <w:rPr>
                <w:rFonts w:ascii="方正书宋_GBK" w:eastAsia="方正书宋_GBK"/>
              </w:rPr>
              <w:t>2019</w:t>
            </w:r>
            <w:r>
              <w:rPr>
                <w:rFonts w:hint="eastAsia" w:ascii="方正书宋_GBK" w:eastAsia="方正书宋_GBK"/>
              </w:rPr>
              <w:t>】</w:t>
            </w:r>
            <w:r>
              <w:rPr>
                <w:rFonts w:ascii="方正书宋_GBK" w:eastAsia="方正书宋_GBK"/>
              </w:rPr>
              <w:t>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吸引更多的投资者</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吸引了更多的企业来我镇兴建企业进行投资，解决我镇农村人口就业</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文新政【</w:t>
            </w:r>
            <w:r>
              <w:rPr>
                <w:rFonts w:ascii="方正书宋_GBK" w:eastAsia="方正书宋_GBK"/>
              </w:rPr>
              <w:t>2019</w:t>
            </w:r>
            <w:r>
              <w:rPr>
                <w:rFonts w:hint="eastAsia" w:ascii="方正书宋_GBK" w:eastAsia="方正书宋_GBK"/>
              </w:rPr>
              <w:t>】</w:t>
            </w:r>
            <w:r>
              <w:rPr>
                <w:rFonts w:ascii="方正书宋_GBK" w:eastAsia="方正书宋_GBK"/>
              </w:rPr>
              <w:t>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9、幼儿园专项公用经费绩效目标表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 w:name="_Toc33373890"/>
      <w:r>
        <w:rPr>
          <w:rFonts w:hint="eastAsia" w:ascii="方正仿宋_GBK" w:eastAsia="方正仿宋_GBK"/>
          <w:b/>
          <w:sz w:val="28"/>
        </w:rPr>
        <w:instrText xml:space="preserve">9、幼儿园专项公用经费绩效目标表</w:instrText>
      </w:r>
      <w:bookmarkEnd w:id="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211003</w:t>
            </w:r>
            <w:r>
              <w:rPr>
                <w:rFonts w:hint="eastAsia" w:ascii="方正书宋_GBK" w:eastAsia="方正书宋_GBK"/>
                <w:b/>
              </w:rPr>
              <w:t>文安县新镇镇政府办公室</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211-3701-YBN-0AIZ</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幼儿园专项公用经费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570000.00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570000.00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、合理性编制预算、依法组织收入比，积极筹措资金，保证我镇幼儿园教育正常开展。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、改善教育环境，提高教育。</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、提高幼师全面素质和教育水平。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、为了改善我镇教育环境，有力的推动我镇义务教育高效稳定的发展。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、增强教师爱岗敬业的积极性，建立健全教学制度，有利于孩子的健康成长。</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县级及以上文明村镇占比率（县级及以上文明村占比率≥</w:t>
            </w:r>
            <w:r>
              <w:rPr>
                <w:rFonts w:ascii="方正书宋_GBK" w:eastAsia="方正书宋_GBK"/>
              </w:rPr>
              <w:t>45%</w:t>
            </w:r>
            <w:r>
              <w:rPr>
                <w:rFonts w:hint="eastAsia" w:ascii="方正书宋_GBK" w:eastAsia="方正书宋_GBK"/>
              </w:rPr>
              <w:t>，县级及以上文明乡镇占比率≥</w:t>
            </w:r>
            <w:r>
              <w:rPr>
                <w:rFonts w:ascii="方正书宋_GBK" w:eastAsia="方正书宋_GBK"/>
              </w:rPr>
              <w:t>66%</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反映文明村镇创建情况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外宣品发放使用量占生产量的比例（</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反映外宣品的使用程度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接受基本公共卫生服务的重点人群对基层医疗卫生机构所提供服务的满意程度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&gt;80%</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spacing w:line="300" w:lineRule="exact"/>
        <w:ind w:firstLine="420" w:firstLineChars="200"/>
        <w:jc w:val="left"/>
      </w:pPr>
    </w:p>
    <w:p>
      <w:pPr>
        <w:autoSpaceDE w:val="0"/>
        <w:autoSpaceDN w:val="0"/>
        <w:adjustRightInd w:val="0"/>
        <w:spacing w:line="584" w:lineRule="exact"/>
        <w:ind w:firstLine="880" w:firstLineChars="200"/>
        <w:jc w:val="left"/>
        <w:rPr>
          <w:rFonts w:ascii="Times New Roman" w:hAnsi="黑体" w:eastAsia="黑体"/>
          <w:color w:val="FF0000"/>
          <w:sz w:val="44"/>
          <w:szCs w:val="44"/>
        </w:r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六、政府采购预算情况</w:t>
      </w:r>
    </w:p>
    <w:p>
      <w:pPr>
        <w:spacing w:line="584" w:lineRule="exact"/>
        <w:ind w:firstLine="640" w:firstLineChars="200"/>
        <w:outlineLvl w:val="0"/>
        <w:rPr>
          <w:rFonts w:ascii="Times New Roman" w:hAnsi="Times New Roman" w:eastAsia="仿宋_GB2312"/>
          <w:sz w:val="32"/>
          <w:szCs w:val="24"/>
        </w:rPr>
      </w:pPr>
      <w:bookmarkStart w:id="9" w:name="_Toc471398468"/>
      <w:r>
        <w:rPr>
          <w:rFonts w:ascii="Times New Roman" w:hAnsi="Times New Roman" w:eastAsia="仿宋_GB2312"/>
          <w:sz w:val="32"/>
          <w:szCs w:val="24"/>
        </w:rPr>
        <w:t>2020</w:t>
      </w:r>
      <w:r>
        <w:rPr>
          <w:rFonts w:hint="eastAsia" w:ascii="Times New Roman" w:hAnsi="Times New Roman" w:eastAsia="仿宋_GB2312"/>
          <w:sz w:val="32"/>
          <w:szCs w:val="24"/>
        </w:rPr>
        <w:t>年，我部门安排政府采购预算</w:t>
      </w:r>
      <w:r>
        <w:rPr>
          <w:rFonts w:ascii="Times New Roman" w:hAnsi="Times New Roman" w:eastAsia="仿宋_GB2312"/>
          <w:sz w:val="32"/>
          <w:szCs w:val="24"/>
        </w:rPr>
        <w:t>0</w:t>
      </w:r>
      <w:r>
        <w:rPr>
          <w:rFonts w:hint="eastAsia" w:ascii="Times New Roman" w:hAnsi="Times New Roman" w:eastAsia="仿宋_GB2312"/>
          <w:sz w:val="32"/>
          <w:szCs w:val="24"/>
        </w:rPr>
        <w:t>万元。具体内容见下表。</w:t>
      </w:r>
    </w:p>
    <w:bookmarkEnd w:id="9"/>
    <w:p>
      <w:pPr>
        <w:spacing w:line="584" w:lineRule="exact"/>
        <w:jc w:val="center"/>
        <w:outlineLvl w:val="0"/>
        <w:rPr>
          <w:rFonts w:ascii="Times New Roman" w:hAnsi="Times New Roman" w:eastAsia="仿宋_GB2312"/>
          <w:sz w:val="32"/>
        </w:rPr>
      </w:pPr>
      <w:bookmarkStart w:id="10" w:name="_Toc504489153"/>
      <w:r>
        <w:rPr>
          <w:rFonts w:hint="eastAsia" w:ascii="Times New Roman" w:hAnsi="Times New Roman" w:eastAsia="仿宋_GB2312"/>
          <w:sz w:val="32"/>
        </w:rPr>
        <w:t>部门政府采购预算</w:t>
      </w:r>
      <w:bookmarkEnd w:id="10"/>
    </w:p>
    <w:tbl>
      <w:tblPr>
        <w:tblStyle w:val="10"/>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8177" w:type="dxa"/>
            <w:gridSpan w:val="7"/>
            <w:tcBorders>
              <w:top w:val="single" w:color="FFFFFF" w:sz="6" w:space="0"/>
              <w:left w:val="single" w:color="FFFFFF" w:sz="6" w:space="0"/>
              <w:right w:val="single" w:color="FFFFFF" w:sz="6" w:space="0"/>
            </w:tcBorders>
            <w:vAlign w:val="center"/>
          </w:tcPr>
          <w:p>
            <w:pPr>
              <w:spacing w:line="584" w:lineRule="exact"/>
              <w:jc w:val="left"/>
              <w:rPr>
                <w:rFonts w:ascii="Times New Roman" w:hAnsi="Times New Roman" w:eastAsia="仿宋_GB2312"/>
                <w:sz w:val="24"/>
              </w:rPr>
            </w:pPr>
            <w:r>
              <w:rPr>
                <w:rFonts w:hint="eastAsia" w:ascii="Times New Roman" w:hAnsi="Times New Roman" w:eastAsia="仿宋_GB2312"/>
                <w:sz w:val="24"/>
              </w:rPr>
              <w:t>廊坊市文安县新镇镇人民政府</w:t>
            </w:r>
          </w:p>
        </w:tc>
        <w:tc>
          <w:tcPr>
            <w:tcW w:w="6391" w:type="dxa"/>
            <w:gridSpan w:val="7"/>
            <w:tcBorders>
              <w:top w:val="single" w:color="FFFFFF" w:sz="6" w:space="0"/>
              <w:left w:val="single" w:color="FFFFFF" w:sz="6" w:space="0"/>
              <w:right w:val="single" w:color="FFFFFF" w:sz="6" w:space="0"/>
            </w:tcBorders>
            <w:vAlign w:val="center"/>
          </w:tcPr>
          <w:p>
            <w:pPr>
              <w:spacing w:line="584" w:lineRule="exact"/>
              <w:jc w:val="right"/>
              <w:rPr>
                <w:rFonts w:ascii="Times New Roman" w:hAnsi="Times New Roman" w:eastAsia="仿宋_GB2312"/>
                <w:sz w:val="24"/>
              </w:rPr>
            </w:pPr>
            <w:r>
              <w:rPr>
                <w:rFonts w:hint="eastAsia" w:ascii="Times New Roman" w:hAnsi="Times New Roman"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463" w:type="dxa"/>
            <w:gridSpan w:val="2"/>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政府采购项目来源</w:t>
            </w:r>
          </w:p>
        </w:tc>
        <w:tc>
          <w:tcPr>
            <w:tcW w:w="932"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采购物品名称</w:t>
            </w:r>
          </w:p>
        </w:tc>
        <w:tc>
          <w:tcPr>
            <w:tcW w:w="1372"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政府采购目录序号</w:t>
            </w:r>
          </w:p>
        </w:tc>
        <w:tc>
          <w:tcPr>
            <w:tcW w:w="720"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数量</w:t>
            </w:r>
            <w:r>
              <w:rPr>
                <w:rFonts w:ascii="Times New Roman" w:hAnsi="Times New Roman" w:eastAsia="仿宋_GB2312"/>
                <w:b/>
              </w:rPr>
              <w:t xml:space="preserve">  </w:t>
            </w:r>
            <w:r>
              <w:rPr>
                <w:rFonts w:hint="eastAsia" w:ascii="Times New Roman" w:hAnsi="Times New Roman" w:eastAsia="仿宋_GB2312"/>
                <w:b/>
              </w:rPr>
              <w:t>单位</w:t>
            </w:r>
          </w:p>
        </w:tc>
        <w:tc>
          <w:tcPr>
            <w:tcW w:w="740"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数量</w:t>
            </w:r>
          </w:p>
        </w:tc>
        <w:tc>
          <w:tcPr>
            <w:tcW w:w="950"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单价</w:t>
            </w:r>
          </w:p>
        </w:tc>
        <w:tc>
          <w:tcPr>
            <w:tcW w:w="6391" w:type="dxa"/>
            <w:gridSpan w:val="7"/>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06"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项目名称</w:t>
            </w:r>
          </w:p>
        </w:tc>
        <w:tc>
          <w:tcPr>
            <w:tcW w:w="1057"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预算资金</w:t>
            </w:r>
          </w:p>
        </w:tc>
        <w:tc>
          <w:tcPr>
            <w:tcW w:w="932" w:type="dxa"/>
            <w:vMerge w:val="continue"/>
            <w:vAlign w:val="center"/>
          </w:tcPr>
          <w:p>
            <w:pPr>
              <w:spacing w:line="584" w:lineRule="exact"/>
              <w:jc w:val="left"/>
              <w:outlineLvl w:val="0"/>
              <w:rPr>
                <w:rFonts w:ascii="Times New Roman" w:hAnsi="Times New Roman" w:eastAsia="仿宋_GB2312"/>
              </w:rPr>
            </w:pPr>
          </w:p>
        </w:tc>
        <w:tc>
          <w:tcPr>
            <w:tcW w:w="1372" w:type="dxa"/>
            <w:vMerge w:val="continue"/>
            <w:vAlign w:val="center"/>
          </w:tcPr>
          <w:p>
            <w:pPr>
              <w:spacing w:line="584" w:lineRule="exact"/>
              <w:jc w:val="left"/>
              <w:outlineLvl w:val="0"/>
              <w:rPr>
                <w:rFonts w:ascii="Times New Roman" w:hAnsi="Times New Roman" w:eastAsia="仿宋_GB2312"/>
              </w:rPr>
            </w:pPr>
          </w:p>
        </w:tc>
        <w:tc>
          <w:tcPr>
            <w:tcW w:w="720" w:type="dxa"/>
            <w:vMerge w:val="continue"/>
            <w:vAlign w:val="center"/>
          </w:tcPr>
          <w:p>
            <w:pPr>
              <w:spacing w:line="584" w:lineRule="exact"/>
              <w:jc w:val="left"/>
              <w:outlineLvl w:val="0"/>
              <w:rPr>
                <w:rFonts w:ascii="Times New Roman" w:hAnsi="Times New Roman" w:eastAsia="仿宋_GB2312"/>
              </w:rPr>
            </w:pPr>
          </w:p>
        </w:tc>
        <w:tc>
          <w:tcPr>
            <w:tcW w:w="740" w:type="dxa"/>
            <w:vMerge w:val="continue"/>
            <w:vAlign w:val="center"/>
          </w:tcPr>
          <w:p>
            <w:pPr>
              <w:spacing w:line="584" w:lineRule="exact"/>
              <w:jc w:val="left"/>
              <w:outlineLvl w:val="0"/>
              <w:rPr>
                <w:rFonts w:ascii="Times New Roman" w:hAnsi="Times New Roman" w:eastAsia="仿宋_GB2312"/>
              </w:rPr>
            </w:pPr>
          </w:p>
        </w:tc>
        <w:tc>
          <w:tcPr>
            <w:tcW w:w="950" w:type="dxa"/>
            <w:vMerge w:val="continue"/>
            <w:vAlign w:val="center"/>
          </w:tcPr>
          <w:p>
            <w:pPr>
              <w:spacing w:line="584" w:lineRule="exact"/>
              <w:jc w:val="left"/>
              <w:outlineLvl w:val="0"/>
              <w:rPr>
                <w:rFonts w:ascii="Times New Roman" w:hAnsi="Times New Roman" w:eastAsia="仿宋_GB2312"/>
              </w:rPr>
            </w:pPr>
          </w:p>
        </w:tc>
        <w:tc>
          <w:tcPr>
            <w:tcW w:w="956"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总计</w:t>
            </w:r>
          </w:p>
        </w:tc>
        <w:tc>
          <w:tcPr>
            <w:tcW w:w="4555" w:type="dxa"/>
            <w:gridSpan w:val="5"/>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当年部门预算安排资金</w:t>
            </w:r>
          </w:p>
        </w:tc>
        <w:tc>
          <w:tcPr>
            <w:tcW w:w="880"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blHeader/>
          <w:jc w:val="center"/>
        </w:trPr>
        <w:tc>
          <w:tcPr>
            <w:tcW w:w="2406" w:type="dxa"/>
            <w:vMerge w:val="continue"/>
            <w:vAlign w:val="center"/>
          </w:tcPr>
          <w:p>
            <w:pPr>
              <w:spacing w:line="584" w:lineRule="exact"/>
              <w:jc w:val="left"/>
              <w:outlineLvl w:val="0"/>
              <w:rPr>
                <w:rFonts w:ascii="Times New Roman" w:hAnsi="Times New Roman" w:eastAsia="仿宋_GB2312"/>
              </w:rPr>
            </w:pPr>
          </w:p>
        </w:tc>
        <w:tc>
          <w:tcPr>
            <w:tcW w:w="1057" w:type="dxa"/>
            <w:vMerge w:val="continue"/>
            <w:vAlign w:val="center"/>
          </w:tcPr>
          <w:p>
            <w:pPr>
              <w:spacing w:line="584" w:lineRule="exact"/>
              <w:jc w:val="left"/>
              <w:outlineLvl w:val="0"/>
              <w:rPr>
                <w:rFonts w:ascii="Times New Roman" w:hAnsi="Times New Roman" w:eastAsia="仿宋_GB2312"/>
              </w:rPr>
            </w:pPr>
          </w:p>
        </w:tc>
        <w:tc>
          <w:tcPr>
            <w:tcW w:w="932" w:type="dxa"/>
            <w:vMerge w:val="continue"/>
            <w:vAlign w:val="center"/>
          </w:tcPr>
          <w:p>
            <w:pPr>
              <w:spacing w:line="584" w:lineRule="exact"/>
              <w:jc w:val="left"/>
              <w:outlineLvl w:val="0"/>
              <w:rPr>
                <w:rFonts w:ascii="Times New Roman" w:hAnsi="Times New Roman" w:eastAsia="仿宋_GB2312"/>
              </w:rPr>
            </w:pPr>
          </w:p>
        </w:tc>
        <w:tc>
          <w:tcPr>
            <w:tcW w:w="1372" w:type="dxa"/>
            <w:vMerge w:val="continue"/>
            <w:vAlign w:val="center"/>
          </w:tcPr>
          <w:p>
            <w:pPr>
              <w:spacing w:line="584" w:lineRule="exact"/>
              <w:jc w:val="left"/>
              <w:outlineLvl w:val="0"/>
              <w:rPr>
                <w:rFonts w:ascii="Times New Roman" w:hAnsi="Times New Roman" w:eastAsia="仿宋_GB2312"/>
              </w:rPr>
            </w:pPr>
          </w:p>
        </w:tc>
        <w:tc>
          <w:tcPr>
            <w:tcW w:w="720" w:type="dxa"/>
            <w:vMerge w:val="continue"/>
            <w:vAlign w:val="center"/>
          </w:tcPr>
          <w:p>
            <w:pPr>
              <w:spacing w:line="584" w:lineRule="exact"/>
              <w:jc w:val="left"/>
              <w:outlineLvl w:val="0"/>
              <w:rPr>
                <w:rFonts w:ascii="Times New Roman" w:hAnsi="Times New Roman" w:eastAsia="仿宋_GB2312"/>
              </w:rPr>
            </w:pPr>
          </w:p>
        </w:tc>
        <w:tc>
          <w:tcPr>
            <w:tcW w:w="740" w:type="dxa"/>
            <w:vMerge w:val="continue"/>
            <w:vAlign w:val="center"/>
          </w:tcPr>
          <w:p>
            <w:pPr>
              <w:spacing w:line="584" w:lineRule="exact"/>
              <w:jc w:val="left"/>
              <w:outlineLvl w:val="0"/>
              <w:rPr>
                <w:rFonts w:ascii="Times New Roman" w:hAnsi="Times New Roman" w:eastAsia="仿宋_GB2312"/>
              </w:rPr>
            </w:pPr>
          </w:p>
        </w:tc>
        <w:tc>
          <w:tcPr>
            <w:tcW w:w="950" w:type="dxa"/>
            <w:vMerge w:val="continue"/>
            <w:vAlign w:val="center"/>
          </w:tcPr>
          <w:p>
            <w:pPr>
              <w:spacing w:line="584" w:lineRule="exact"/>
              <w:jc w:val="left"/>
              <w:outlineLvl w:val="0"/>
              <w:rPr>
                <w:rFonts w:ascii="Times New Roman" w:hAnsi="Times New Roman" w:eastAsia="仿宋_GB2312"/>
              </w:rPr>
            </w:pPr>
          </w:p>
        </w:tc>
        <w:tc>
          <w:tcPr>
            <w:tcW w:w="956" w:type="dxa"/>
            <w:vMerge w:val="continue"/>
            <w:vAlign w:val="center"/>
          </w:tcPr>
          <w:p>
            <w:pPr>
              <w:spacing w:line="584" w:lineRule="exact"/>
              <w:jc w:val="left"/>
              <w:outlineLvl w:val="0"/>
              <w:rPr>
                <w:rFonts w:ascii="Times New Roman" w:hAnsi="Times New Roman" w:eastAsia="仿宋_GB2312"/>
              </w:rPr>
            </w:pPr>
          </w:p>
        </w:tc>
        <w:tc>
          <w:tcPr>
            <w:tcW w:w="956"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合计</w:t>
            </w:r>
          </w:p>
        </w:tc>
        <w:tc>
          <w:tcPr>
            <w:tcW w:w="956"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一般公共预算拨款</w:t>
            </w:r>
          </w:p>
        </w:tc>
        <w:tc>
          <w:tcPr>
            <w:tcW w:w="790"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基金预算拨款</w:t>
            </w:r>
          </w:p>
        </w:tc>
        <w:tc>
          <w:tcPr>
            <w:tcW w:w="924"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财政专户核拨</w:t>
            </w:r>
          </w:p>
        </w:tc>
        <w:tc>
          <w:tcPr>
            <w:tcW w:w="929"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其他来源收入</w:t>
            </w:r>
          </w:p>
        </w:tc>
        <w:tc>
          <w:tcPr>
            <w:tcW w:w="880" w:type="dxa"/>
            <w:vMerge w:val="continue"/>
            <w:vAlign w:val="center"/>
          </w:tcPr>
          <w:p>
            <w:pPr>
              <w:spacing w:line="584" w:lineRule="exact"/>
              <w:jc w:val="left"/>
              <w:outlineLvl w:val="0"/>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6"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合　计</w:t>
            </w:r>
          </w:p>
        </w:tc>
        <w:tc>
          <w:tcPr>
            <w:tcW w:w="1057"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32" w:type="dxa"/>
            <w:vAlign w:val="center"/>
          </w:tcPr>
          <w:p>
            <w:pPr>
              <w:spacing w:line="584" w:lineRule="exact"/>
              <w:jc w:val="left"/>
              <w:rPr>
                <w:rFonts w:ascii="Times New Roman" w:hAnsi="Times New Roman" w:eastAsia="仿宋_GB2312"/>
                <w:b/>
              </w:rPr>
            </w:pPr>
            <w:r>
              <w:rPr>
                <w:rFonts w:ascii="Times New Roman" w:hAnsi="Times New Roman" w:eastAsia="仿宋_GB2312"/>
                <w:b/>
              </w:rPr>
              <w:t>0</w:t>
            </w:r>
          </w:p>
        </w:tc>
        <w:tc>
          <w:tcPr>
            <w:tcW w:w="1372" w:type="dxa"/>
            <w:vAlign w:val="center"/>
          </w:tcPr>
          <w:p>
            <w:pPr>
              <w:spacing w:line="584" w:lineRule="exact"/>
              <w:jc w:val="left"/>
              <w:rPr>
                <w:rFonts w:ascii="Times New Roman" w:hAnsi="Times New Roman" w:eastAsia="仿宋_GB2312"/>
                <w:b/>
              </w:rPr>
            </w:pPr>
            <w:r>
              <w:rPr>
                <w:rFonts w:ascii="Times New Roman" w:hAnsi="Times New Roman" w:eastAsia="仿宋_GB2312"/>
                <w:b/>
              </w:rPr>
              <w:t>0</w:t>
            </w:r>
          </w:p>
        </w:tc>
        <w:tc>
          <w:tcPr>
            <w:tcW w:w="720" w:type="dxa"/>
            <w:vAlign w:val="center"/>
          </w:tcPr>
          <w:p>
            <w:pPr>
              <w:spacing w:line="584" w:lineRule="exact"/>
              <w:jc w:val="left"/>
              <w:rPr>
                <w:rFonts w:ascii="Times New Roman" w:hAnsi="Times New Roman" w:eastAsia="仿宋_GB2312"/>
                <w:b/>
              </w:rPr>
            </w:pPr>
            <w:r>
              <w:rPr>
                <w:rFonts w:ascii="Times New Roman" w:hAnsi="Times New Roman" w:eastAsia="仿宋_GB2312"/>
                <w:b/>
              </w:rPr>
              <w:t>0</w:t>
            </w:r>
          </w:p>
        </w:tc>
        <w:tc>
          <w:tcPr>
            <w:tcW w:w="740"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50"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56"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56"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56"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790"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24"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29"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880"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6" w:type="dxa"/>
            <w:vAlign w:val="center"/>
          </w:tcPr>
          <w:p>
            <w:pPr>
              <w:spacing w:line="584" w:lineRule="exact"/>
              <w:jc w:val="center"/>
              <w:rPr>
                <w:rFonts w:ascii="Times New Roman" w:hAnsi="Times New Roman" w:eastAsia="仿宋_GB2312"/>
                <w:b/>
              </w:rPr>
            </w:pPr>
          </w:p>
        </w:tc>
        <w:tc>
          <w:tcPr>
            <w:tcW w:w="1057" w:type="dxa"/>
            <w:vAlign w:val="center"/>
          </w:tcPr>
          <w:p>
            <w:pPr>
              <w:spacing w:line="584" w:lineRule="exact"/>
              <w:jc w:val="right"/>
              <w:rPr>
                <w:rFonts w:ascii="Times New Roman" w:hAnsi="Times New Roman" w:eastAsia="仿宋_GB2312"/>
                <w:b/>
              </w:rPr>
            </w:pPr>
          </w:p>
        </w:tc>
        <w:tc>
          <w:tcPr>
            <w:tcW w:w="932" w:type="dxa"/>
            <w:vAlign w:val="center"/>
          </w:tcPr>
          <w:p>
            <w:pPr>
              <w:spacing w:line="584" w:lineRule="exact"/>
              <w:jc w:val="left"/>
              <w:rPr>
                <w:rFonts w:ascii="Times New Roman" w:hAnsi="Times New Roman" w:eastAsia="仿宋_GB2312"/>
                <w:b/>
              </w:rPr>
            </w:pPr>
          </w:p>
        </w:tc>
        <w:tc>
          <w:tcPr>
            <w:tcW w:w="1372" w:type="dxa"/>
            <w:vAlign w:val="center"/>
          </w:tcPr>
          <w:p>
            <w:pPr>
              <w:spacing w:line="584" w:lineRule="exact"/>
              <w:jc w:val="left"/>
              <w:rPr>
                <w:rFonts w:ascii="Times New Roman" w:hAnsi="Times New Roman" w:eastAsia="仿宋_GB2312"/>
                <w:b/>
              </w:rPr>
            </w:pPr>
          </w:p>
        </w:tc>
        <w:tc>
          <w:tcPr>
            <w:tcW w:w="720" w:type="dxa"/>
            <w:vAlign w:val="center"/>
          </w:tcPr>
          <w:p>
            <w:pPr>
              <w:spacing w:line="584" w:lineRule="exact"/>
              <w:jc w:val="left"/>
              <w:rPr>
                <w:rFonts w:ascii="Times New Roman" w:hAnsi="Times New Roman" w:eastAsia="仿宋_GB2312"/>
                <w:b/>
              </w:rPr>
            </w:pPr>
          </w:p>
        </w:tc>
        <w:tc>
          <w:tcPr>
            <w:tcW w:w="740" w:type="dxa"/>
            <w:vAlign w:val="center"/>
          </w:tcPr>
          <w:p>
            <w:pPr>
              <w:spacing w:line="584" w:lineRule="exact"/>
              <w:jc w:val="right"/>
              <w:rPr>
                <w:rFonts w:ascii="Times New Roman" w:hAnsi="Times New Roman" w:eastAsia="仿宋_GB2312"/>
                <w:b/>
              </w:rPr>
            </w:pPr>
          </w:p>
        </w:tc>
        <w:tc>
          <w:tcPr>
            <w:tcW w:w="950" w:type="dxa"/>
            <w:vAlign w:val="center"/>
          </w:tcPr>
          <w:p>
            <w:pPr>
              <w:spacing w:line="584" w:lineRule="exact"/>
              <w:jc w:val="right"/>
              <w:rPr>
                <w:rFonts w:ascii="Times New Roman" w:hAnsi="Times New Roman" w:eastAsia="仿宋_GB2312"/>
                <w:b/>
              </w:rPr>
            </w:pPr>
          </w:p>
        </w:tc>
        <w:tc>
          <w:tcPr>
            <w:tcW w:w="956" w:type="dxa"/>
            <w:vAlign w:val="center"/>
          </w:tcPr>
          <w:p>
            <w:pPr>
              <w:spacing w:line="584" w:lineRule="exact"/>
              <w:jc w:val="right"/>
              <w:rPr>
                <w:rFonts w:ascii="Times New Roman" w:hAnsi="Times New Roman" w:eastAsia="仿宋_GB2312"/>
                <w:b/>
              </w:rPr>
            </w:pPr>
          </w:p>
        </w:tc>
        <w:tc>
          <w:tcPr>
            <w:tcW w:w="956" w:type="dxa"/>
            <w:vAlign w:val="center"/>
          </w:tcPr>
          <w:p>
            <w:pPr>
              <w:spacing w:line="584" w:lineRule="exact"/>
              <w:jc w:val="right"/>
              <w:rPr>
                <w:rFonts w:ascii="Times New Roman" w:hAnsi="Times New Roman" w:eastAsia="仿宋_GB2312"/>
                <w:b/>
              </w:rPr>
            </w:pPr>
          </w:p>
        </w:tc>
        <w:tc>
          <w:tcPr>
            <w:tcW w:w="956" w:type="dxa"/>
            <w:vAlign w:val="center"/>
          </w:tcPr>
          <w:p>
            <w:pPr>
              <w:spacing w:line="584" w:lineRule="exact"/>
              <w:jc w:val="right"/>
              <w:rPr>
                <w:rFonts w:ascii="Times New Roman" w:hAnsi="Times New Roman" w:eastAsia="仿宋_GB2312"/>
                <w:b/>
              </w:rPr>
            </w:pPr>
          </w:p>
        </w:tc>
        <w:tc>
          <w:tcPr>
            <w:tcW w:w="790" w:type="dxa"/>
            <w:vAlign w:val="center"/>
          </w:tcPr>
          <w:p>
            <w:pPr>
              <w:spacing w:line="584" w:lineRule="exact"/>
              <w:jc w:val="right"/>
              <w:rPr>
                <w:rFonts w:ascii="Times New Roman" w:hAnsi="Times New Roman" w:eastAsia="仿宋_GB2312"/>
                <w:b/>
              </w:rPr>
            </w:pPr>
          </w:p>
        </w:tc>
        <w:tc>
          <w:tcPr>
            <w:tcW w:w="924" w:type="dxa"/>
            <w:vAlign w:val="center"/>
          </w:tcPr>
          <w:p>
            <w:pPr>
              <w:spacing w:line="584" w:lineRule="exact"/>
              <w:jc w:val="right"/>
              <w:rPr>
                <w:rFonts w:ascii="Times New Roman" w:hAnsi="Times New Roman" w:eastAsia="仿宋_GB2312"/>
                <w:b/>
              </w:rPr>
            </w:pPr>
          </w:p>
        </w:tc>
        <w:tc>
          <w:tcPr>
            <w:tcW w:w="929" w:type="dxa"/>
            <w:vAlign w:val="center"/>
          </w:tcPr>
          <w:p>
            <w:pPr>
              <w:spacing w:line="584" w:lineRule="exact"/>
              <w:jc w:val="right"/>
              <w:rPr>
                <w:rFonts w:ascii="Times New Roman" w:hAnsi="Times New Roman" w:eastAsia="仿宋_GB2312"/>
                <w:b/>
              </w:rPr>
            </w:pPr>
          </w:p>
        </w:tc>
        <w:tc>
          <w:tcPr>
            <w:tcW w:w="880" w:type="dxa"/>
            <w:vAlign w:val="center"/>
          </w:tcPr>
          <w:p>
            <w:pPr>
              <w:spacing w:line="584" w:lineRule="exact"/>
              <w:jc w:val="right"/>
              <w:rPr>
                <w:rFonts w:ascii="Times New Roman" w:hAnsi="Times New Roman" w:eastAsia="仿宋_GB2312"/>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6" w:type="dxa"/>
            <w:vAlign w:val="center"/>
          </w:tcPr>
          <w:p>
            <w:pPr>
              <w:spacing w:line="584" w:lineRule="exact"/>
              <w:jc w:val="left"/>
              <w:rPr>
                <w:rFonts w:ascii="Times New Roman" w:hAnsi="Times New Roman" w:eastAsia="仿宋_GB2312"/>
              </w:rPr>
            </w:pPr>
          </w:p>
        </w:tc>
        <w:tc>
          <w:tcPr>
            <w:tcW w:w="1057" w:type="dxa"/>
            <w:vAlign w:val="center"/>
          </w:tcPr>
          <w:p>
            <w:pPr>
              <w:spacing w:line="584" w:lineRule="exact"/>
              <w:jc w:val="right"/>
              <w:rPr>
                <w:rFonts w:ascii="Times New Roman" w:hAnsi="Times New Roman" w:eastAsia="仿宋_GB2312"/>
              </w:rPr>
            </w:pPr>
          </w:p>
        </w:tc>
        <w:tc>
          <w:tcPr>
            <w:tcW w:w="932" w:type="dxa"/>
            <w:vAlign w:val="center"/>
          </w:tcPr>
          <w:p>
            <w:pPr>
              <w:spacing w:line="584" w:lineRule="exact"/>
              <w:jc w:val="left"/>
              <w:rPr>
                <w:rFonts w:ascii="Times New Roman" w:hAnsi="Times New Roman" w:eastAsia="仿宋_GB2312"/>
              </w:rPr>
            </w:pPr>
          </w:p>
        </w:tc>
        <w:tc>
          <w:tcPr>
            <w:tcW w:w="1372" w:type="dxa"/>
            <w:vAlign w:val="center"/>
          </w:tcPr>
          <w:p>
            <w:pPr>
              <w:spacing w:line="584" w:lineRule="exact"/>
              <w:jc w:val="left"/>
              <w:rPr>
                <w:rFonts w:ascii="Times New Roman" w:hAnsi="Times New Roman" w:eastAsia="仿宋_GB2312"/>
              </w:rPr>
            </w:pPr>
          </w:p>
        </w:tc>
        <w:tc>
          <w:tcPr>
            <w:tcW w:w="720" w:type="dxa"/>
            <w:vAlign w:val="center"/>
          </w:tcPr>
          <w:p>
            <w:pPr>
              <w:spacing w:line="584" w:lineRule="exact"/>
              <w:jc w:val="left"/>
              <w:rPr>
                <w:rFonts w:ascii="Times New Roman" w:hAnsi="Times New Roman" w:eastAsia="仿宋_GB2312"/>
              </w:rPr>
            </w:pPr>
          </w:p>
        </w:tc>
        <w:tc>
          <w:tcPr>
            <w:tcW w:w="740" w:type="dxa"/>
            <w:vAlign w:val="center"/>
          </w:tcPr>
          <w:p>
            <w:pPr>
              <w:spacing w:line="584" w:lineRule="exact"/>
              <w:jc w:val="right"/>
              <w:rPr>
                <w:rFonts w:ascii="Times New Roman" w:hAnsi="Times New Roman" w:eastAsia="仿宋_GB2312"/>
              </w:rPr>
            </w:pPr>
          </w:p>
        </w:tc>
        <w:tc>
          <w:tcPr>
            <w:tcW w:w="950"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790" w:type="dxa"/>
            <w:vAlign w:val="center"/>
          </w:tcPr>
          <w:p>
            <w:pPr>
              <w:spacing w:line="584" w:lineRule="exact"/>
              <w:jc w:val="right"/>
              <w:rPr>
                <w:rFonts w:ascii="Times New Roman" w:hAnsi="Times New Roman" w:eastAsia="仿宋_GB2312"/>
              </w:rPr>
            </w:pPr>
          </w:p>
        </w:tc>
        <w:tc>
          <w:tcPr>
            <w:tcW w:w="924" w:type="dxa"/>
            <w:vAlign w:val="center"/>
          </w:tcPr>
          <w:p>
            <w:pPr>
              <w:spacing w:line="584" w:lineRule="exact"/>
              <w:jc w:val="right"/>
              <w:rPr>
                <w:rFonts w:ascii="Times New Roman" w:hAnsi="Times New Roman" w:eastAsia="仿宋_GB2312"/>
              </w:rPr>
            </w:pPr>
          </w:p>
        </w:tc>
        <w:tc>
          <w:tcPr>
            <w:tcW w:w="929" w:type="dxa"/>
            <w:vAlign w:val="center"/>
          </w:tcPr>
          <w:p>
            <w:pPr>
              <w:spacing w:line="584" w:lineRule="exact"/>
              <w:jc w:val="right"/>
              <w:rPr>
                <w:rFonts w:ascii="Times New Roman" w:hAnsi="Times New Roman" w:eastAsia="仿宋_GB2312"/>
              </w:rPr>
            </w:pPr>
          </w:p>
        </w:tc>
        <w:tc>
          <w:tcPr>
            <w:tcW w:w="880" w:type="dxa"/>
            <w:vAlign w:val="center"/>
          </w:tcPr>
          <w:p>
            <w:pPr>
              <w:spacing w:line="584" w:lineRule="exact"/>
              <w:jc w:val="right"/>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2406" w:type="dxa"/>
            <w:vAlign w:val="center"/>
          </w:tcPr>
          <w:p>
            <w:pPr>
              <w:spacing w:line="584" w:lineRule="exact"/>
              <w:jc w:val="left"/>
              <w:rPr>
                <w:rFonts w:ascii="Times New Roman" w:hAnsi="Times New Roman" w:eastAsia="仿宋_GB2312"/>
              </w:rPr>
            </w:pPr>
          </w:p>
        </w:tc>
        <w:tc>
          <w:tcPr>
            <w:tcW w:w="1057" w:type="dxa"/>
            <w:vAlign w:val="center"/>
          </w:tcPr>
          <w:p>
            <w:pPr>
              <w:spacing w:line="584" w:lineRule="exact"/>
              <w:jc w:val="right"/>
              <w:rPr>
                <w:rFonts w:ascii="Times New Roman" w:hAnsi="Times New Roman" w:eastAsia="仿宋_GB2312"/>
              </w:rPr>
            </w:pPr>
          </w:p>
        </w:tc>
        <w:tc>
          <w:tcPr>
            <w:tcW w:w="932" w:type="dxa"/>
            <w:vAlign w:val="center"/>
          </w:tcPr>
          <w:p>
            <w:pPr>
              <w:spacing w:line="584" w:lineRule="exact"/>
              <w:jc w:val="left"/>
              <w:rPr>
                <w:rFonts w:ascii="Times New Roman" w:hAnsi="Times New Roman" w:eastAsia="仿宋_GB2312"/>
              </w:rPr>
            </w:pPr>
          </w:p>
        </w:tc>
        <w:tc>
          <w:tcPr>
            <w:tcW w:w="1372" w:type="dxa"/>
            <w:vAlign w:val="center"/>
          </w:tcPr>
          <w:p>
            <w:pPr>
              <w:spacing w:line="584" w:lineRule="exact"/>
              <w:jc w:val="left"/>
              <w:rPr>
                <w:rFonts w:ascii="Times New Roman" w:hAnsi="Times New Roman" w:eastAsia="仿宋_GB2312"/>
              </w:rPr>
            </w:pPr>
          </w:p>
        </w:tc>
        <w:tc>
          <w:tcPr>
            <w:tcW w:w="720" w:type="dxa"/>
            <w:vAlign w:val="center"/>
          </w:tcPr>
          <w:p>
            <w:pPr>
              <w:spacing w:line="584" w:lineRule="exact"/>
              <w:jc w:val="left"/>
              <w:rPr>
                <w:rFonts w:ascii="Times New Roman" w:hAnsi="Times New Roman" w:eastAsia="仿宋_GB2312"/>
              </w:rPr>
            </w:pPr>
          </w:p>
        </w:tc>
        <w:tc>
          <w:tcPr>
            <w:tcW w:w="740" w:type="dxa"/>
            <w:vAlign w:val="center"/>
          </w:tcPr>
          <w:p>
            <w:pPr>
              <w:spacing w:line="584" w:lineRule="exact"/>
              <w:jc w:val="right"/>
              <w:rPr>
                <w:rFonts w:ascii="Times New Roman" w:hAnsi="Times New Roman" w:eastAsia="仿宋_GB2312"/>
              </w:rPr>
            </w:pPr>
          </w:p>
        </w:tc>
        <w:tc>
          <w:tcPr>
            <w:tcW w:w="950"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790" w:type="dxa"/>
            <w:vAlign w:val="center"/>
          </w:tcPr>
          <w:p>
            <w:pPr>
              <w:spacing w:line="584" w:lineRule="exact"/>
              <w:jc w:val="right"/>
              <w:rPr>
                <w:rFonts w:ascii="Times New Roman" w:hAnsi="Times New Roman" w:eastAsia="仿宋_GB2312"/>
              </w:rPr>
            </w:pPr>
          </w:p>
        </w:tc>
        <w:tc>
          <w:tcPr>
            <w:tcW w:w="924" w:type="dxa"/>
            <w:vAlign w:val="center"/>
          </w:tcPr>
          <w:p>
            <w:pPr>
              <w:spacing w:line="584" w:lineRule="exact"/>
              <w:jc w:val="right"/>
              <w:rPr>
                <w:rFonts w:ascii="Times New Roman" w:hAnsi="Times New Roman" w:eastAsia="仿宋_GB2312"/>
              </w:rPr>
            </w:pPr>
          </w:p>
        </w:tc>
        <w:tc>
          <w:tcPr>
            <w:tcW w:w="929" w:type="dxa"/>
            <w:vAlign w:val="center"/>
          </w:tcPr>
          <w:p>
            <w:pPr>
              <w:spacing w:line="584" w:lineRule="exact"/>
              <w:jc w:val="right"/>
              <w:rPr>
                <w:rFonts w:ascii="Times New Roman" w:hAnsi="Times New Roman" w:eastAsia="仿宋_GB2312"/>
              </w:rPr>
            </w:pPr>
          </w:p>
        </w:tc>
        <w:tc>
          <w:tcPr>
            <w:tcW w:w="880" w:type="dxa"/>
            <w:vAlign w:val="center"/>
          </w:tcPr>
          <w:p>
            <w:pPr>
              <w:spacing w:line="584" w:lineRule="exact"/>
              <w:jc w:val="right"/>
              <w:rPr>
                <w:rFonts w:ascii="Times New Roman" w:hAnsi="Times New Roman" w:eastAsia="仿宋_GB2312"/>
              </w:rPr>
            </w:pPr>
          </w:p>
        </w:tc>
      </w:tr>
    </w:tbl>
    <w:p>
      <w:pPr>
        <w:spacing w:line="584" w:lineRule="exact"/>
        <w:jc w:val="left"/>
        <w:outlineLvl w:val="0"/>
        <w:rPr>
          <w:rFonts w:ascii="Times New Roman" w:hAnsi="Times New Roman" w:eastAsia="仿宋_GB2312"/>
        </w:rPr>
        <w:sectPr>
          <w:pgSz w:w="16839" w:h="11907" w:orient="landscape"/>
          <w:pgMar w:top="1361" w:right="1020" w:bottom="1361" w:left="1020" w:header="851" w:footer="992" w:gutter="0"/>
          <w:pgNumType w:fmt="numberInDash"/>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七、国有资产信息</w:t>
      </w:r>
    </w:p>
    <w:p>
      <w:pPr>
        <w:spacing w:line="584" w:lineRule="exact"/>
        <w:ind w:firstLine="640"/>
        <w:rPr>
          <w:rFonts w:ascii="Times New Roman" w:hAnsi="Times New Roman" w:eastAsia="仿宋_GB2312"/>
          <w:sz w:val="32"/>
          <w:szCs w:val="32"/>
        </w:rPr>
      </w:pPr>
      <w:r>
        <w:rPr>
          <w:rFonts w:hint="eastAsia" w:ascii="Times New Roman" w:hAnsi="Times New Roman" w:eastAsia="仿宋_GB2312"/>
          <w:sz w:val="32"/>
          <w:szCs w:val="32"/>
        </w:rPr>
        <w:t>廊坊市文安县新镇镇人民政府上年末固定资产金额为583.13万元，本年度我部门无拟购置固定资产</w:t>
      </w:r>
    </w:p>
    <w:tbl>
      <w:tblPr>
        <w:tblStyle w:val="10"/>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spacing w:line="584" w:lineRule="exact"/>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廊坊市市直部门固定资产占用情况表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spacing w:line="584" w:lineRule="exact"/>
              <w:jc w:val="left"/>
              <w:rPr>
                <w:rFonts w:ascii="Times New Roman" w:hAnsi="Times New Roman" w:eastAsia="仿宋_GB2312"/>
                <w:kern w:val="0"/>
                <w:sz w:val="22"/>
              </w:rPr>
            </w:pPr>
            <w:r>
              <w:rPr>
                <w:rFonts w:hint="eastAsia" w:ascii="Times New Roman" w:hAnsi="Times New Roman" w:eastAsia="仿宋_GB2312"/>
                <w:kern w:val="0"/>
                <w:sz w:val="22"/>
              </w:rPr>
              <w:t>编制部门：廊坊市文安县新镇镇人民政府</w:t>
            </w:r>
          </w:p>
        </w:tc>
        <w:tc>
          <w:tcPr>
            <w:tcW w:w="5103" w:type="dxa"/>
            <w:tcBorders>
              <w:top w:val="nil"/>
              <w:left w:val="nil"/>
              <w:bottom w:val="nil"/>
              <w:right w:val="nil"/>
            </w:tcBorders>
            <w:vAlign w:val="center"/>
          </w:tcPr>
          <w:p>
            <w:pPr>
              <w:widowControl/>
              <w:spacing w:line="584" w:lineRule="exact"/>
              <w:jc w:val="left"/>
              <w:rPr>
                <w:rFonts w:ascii="Times New Roman" w:hAnsi="Times New Roman" w:eastAsia="仿宋_GB2312"/>
                <w:kern w:val="0"/>
                <w:sz w:val="22"/>
              </w:rPr>
            </w:pPr>
            <w:r>
              <w:rPr>
                <w:rFonts w:ascii="Times New Roman" w:hAnsi="Times New Roman" w:eastAsia="仿宋_GB2312"/>
                <w:kern w:val="0"/>
                <w:sz w:val="22"/>
              </w:rPr>
              <w:t xml:space="preserve">              </w:t>
            </w:r>
            <w:r>
              <w:rPr>
                <w:rFonts w:hint="eastAsia" w:ascii="Times New Roman" w:hAnsi="Times New Roman" w:eastAsia="仿宋_GB2312"/>
                <w:kern w:val="0"/>
                <w:sz w:val="22"/>
              </w:rPr>
              <w:t>截止时间：</w:t>
            </w:r>
            <w:r>
              <w:rPr>
                <w:rFonts w:ascii="Times New Roman" w:hAnsi="Times New Roman" w:eastAsia="仿宋_GB2312"/>
                <w:kern w:val="0"/>
                <w:sz w:val="22"/>
              </w:rPr>
              <w:t>2019</w:t>
            </w:r>
            <w:r>
              <w:rPr>
                <w:rFonts w:hint="eastAsia" w:ascii="Times New Roman" w:hAnsi="Times New Roman" w:eastAsia="仿宋_GB2312"/>
                <w:kern w:val="0"/>
                <w:sz w:val="22"/>
              </w:rPr>
              <w:t>年</w:t>
            </w:r>
            <w:r>
              <w:rPr>
                <w:rFonts w:ascii="Times New Roman" w:hAnsi="Times New Roman" w:eastAsia="仿宋_GB2312"/>
                <w:kern w:val="0"/>
                <w:sz w:val="22"/>
              </w:rPr>
              <w:t>12</w:t>
            </w:r>
            <w:r>
              <w:rPr>
                <w:rFonts w:hint="eastAsia" w:ascii="Times New Roman" w:hAnsi="Times New Roman" w:eastAsia="仿宋_GB2312"/>
                <w:kern w:val="0"/>
                <w:sz w:val="22"/>
              </w:rPr>
              <w:t>月</w:t>
            </w:r>
            <w:r>
              <w:rPr>
                <w:rFonts w:ascii="Times New Roman" w:hAnsi="Times New Roman" w:eastAsia="仿宋_GB2312"/>
                <w:kern w:val="0"/>
                <w:sz w:val="22"/>
              </w:rPr>
              <w:t>31</w:t>
            </w:r>
            <w:r>
              <w:rPr>
                <w:rFonts w:hint="eastAsia" w:ascii="Times New Roman" w:hAnsi="Times New Roman" w:eastAsia="仿宋_GB2312"/>
                <w:kern w:val="0"/>
                <w:sz w:val="22"/>
              </w:rPr>
              <w:t>日</w:t>
            </w:r>
            <w:r>
              <w:rPr>
                <w:rFonts w:ascii="Times New Roman" w:hAnsi="Times New Roman" w:eastAsia="仿宋_GB2312"/>
                <w:kern w:val="0"/>
                <w:sz w:val="22"/>
              </w:rPr>
              <w:t xml:space="preserve">  </w:t>
            </w:r>
          </w:p>
        </w:tc>
      </w:tr>
      <w:tr>
        <w:tblPrEx>
          <w:tblLayout w:type="fixed"/>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项</w:t>
            </w:r>
            <w:r>
              <w:rPr>
                <w:rFonts w:ascii="Times New Roman" w:hAnsi="Times New Roman" w:eastAsia="仿宋_GB2312"/>
                <w:b/>
                <w:bCs/>
                <w:kern w:val="0"/>
                <w:sz w:val="22"/>
              </w:rPr>
              <w:t xml:space="preserve">   </w:t>
            </w:r>
            <w:r>
              <w:rPr>
                <w:rFonts w:hint="eastAsia" w:ascii="Times New Roman" w:hAnsi="Times New Roman" w:eastAsia="仿宋_GB2312"/>
                <w:b/>
                <w:bCs/>
                <w:kern w:val="0"/>
                <w:sz w:val="22"/>
              </w:rPr>
              <w:t>目</w:t>
            </w:r>
          </w:p>
        </w:tc>
        <w:tc>
          <w:tcPr>
            <w:tcW w:w="3155"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价值（金额单位：万元）</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hint="eastAsia" w:ascii="Times New Roman" w:hAnsi="Times New Roman" w:eastAsia="仿宋_GB2312"/>
                <w:kern w:val="0"/>
                <w:sz w:val="22"/>
              </w:rPr>
              <w:t>资产总额</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r>
              <w:rPr>
                <w:rFonts w:hint="eastAsia" w:ascii="Times New Roman" w:hAnsi="Times New Roman" w:eastAsia="仿宋_GB2312"/>
                <w:sz w:val="22"/>
              </w:rPr>
              <w:t>583.13</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ascii="Times New Roman" w:hAnsi="Times New Roman" w:eastAsia="仿宋_GB2312"/>
                <w:kern w:val="0"/>
                <w:sz w:val="22"/>
              </w:rPr>
              <w:t>1</w:t>
            </w:r>
            <w:r>
              <w:rPr>
                <w:rFonts w:hint="eastAsia" w:ascii="Times New Roman" w:hAnsi="Times New Roman" w:eastAsia="仿宋_GB2312"/>
                <w:kern w:val="0"/>
                <w:sz w:val="22"/>
              </w:rPr>
              <w:t>、房屋（平方米）</w:t>
            </w:r>
          </w:p>
        </w:tc>
        <w:tc>
          <w:tcPr>
            <w:tcW w:w="3155" w:type="dxa"/>
            <w:tcBorders>
              <w:top w:val="nil"/>
              <w:left w:val="nil"/>
              <w:bottom w:val="single" w:color="auto" w:sz="4" w:space="0"/>
              <w:right w:val="single" w:color="auto" w:sz="4" w:space="0"/>
            </w:tcBorders>
            <w:vAlign w:val="center"/>
          </w:tcPr>
          <w:p>
            <w:pPr>
              <w:spacing w:line="584" w:lineRule="exact"/>
              <w:ind w:firstLine="1210" w:firstLineChars="550"/>
              <w:rPr>
                <w:rFonts w:ascii="Times New Roman" w:hAnsi="Times New Roman" w:eastAsia="仿宋_GB2312"/>
                <w:sz w:val="22"/>
              </w:rPr>
            </w:pPr>
            <w:r>
              <w:rPr>
                <w:rFonts w:hint="eastAsia" w:ascii="Times New Roman" w:hAnsi="Times New Roman" w:eastAsia="仿宋_GB2312"/>
                <w:sz w:val="22"/>
              </w:rPr>
              <w:t>2964</w:t>
            </w:r>
          </w:p>
        </w:tc>
        <w:tc>
          <w:tcPr>
            <w:tcW w:w="5103" w:type="dxa"/>
            <w:tcBorders>
              <w:top w:val="nil"/>
              <w:left w:val="nil"/>
              <w:bottom w:val="single" w:color="auto" w:sz="4" w:space="0"/>
              <w:right w:val="single" w:color="auto" w:sz="4" w:space="0"/>
            </w:tcBorders>
            <w:vAlign w:val="center"/>
          </w:tcPr>
          <w:p>
            <w:pPr>
              <w:spacing w:line="584" w:lineRule="exact"/>
              <w:ind w:firstLine="2090" w:firstLineChars="950"/>
              <w:rPr>
                <w:rFonts w:ascii="Times New Roman" w:hAnsi="Times New Roman" w:eastAsia="仿宋_GB2312"/>
                <w:sz w:val="22"/>
              </w:rPr>
            </w:pPr>
            <w:r>
              <w:rPr>
                <w:rFonts w:hint="eastAsia" w:ascii="Times New Roman" w:hAnsi="Times New Roman" w:eastAsia="仿宋_GB2312"/>
                <w:sz w:val="22"/>
              </w:rPr>
              <w:t>485.91</w:t>
            </w:r>
          </w:p>
        </w:tc>
      </w:tr>
      <w:tr>
        <w:tblPrEx>
          <w:tblLayout w:type="fixed"/>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hint="eastAsia" w:ascii="Times New Roman" w:hAnsi="Times New Roman" w:eastAsia="仿宋_GB2312"/>
                <w:kern w:val="0"/>
                <w:sz w:val="22"/>
              </w:rPr>
              <w:t>其中：办公用房（平方米）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2964</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p>
        </w:tc>
      </w:tr>
      <w:tr>
        <w:tblPrEx>
          <w:tblLayout w:type="fixed"/>
          <w:tblCellMar>
            <w:top w:w="0" w:type="dxa"/>
            <w:left w:w="108" w:type="dxa"/>
            <w:bottom w:w="0" w:type="dxa"/>
            <w:right w:w="108" w:type="dxa"/>
          </w:tblCellMar>
        </w:tblPrEx>
        <w:trPr>
          <w:trHeight w:val="821"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ascii="Times New Roman" w:hAnsi="Times New Roman" w:eastAsia="仿宋_GB2312"/>
                <w:kern w:val="0"/>
                <w:sz w:val="22"/>
              </w:rPr>
              <w:t>2</w:t>
            </w:r>
            <w:r>
              <w:rPr>
                <w:rFonts w:hint="eastAsia" w:ascii="Times New Roman" w:hAnsi="Times New Roman" w:eastAsia="仿宋_GB2312"/>
                <w:kern w:val="0"/>
                <w:sz w:val="22"/>
              </w:rPr>
              <w:t>、车辆（台、辆）</w:t>
            </w:r>
          </w:p>
        </w:tc>
        <w:tc>
          <w:tcPr>
            <w:tcW w:w="3155" w:type="dxa"/>
            <w:tcBorders>
              <w:top w:val="nil"/>
              <w:left w:val="nil"/>
              <w:bottom w:val="single" w:color="auto" w:sz="4" w:space="0"/>
              <w:right w:val="single" w:color="auto" w:sz="4" w:space="0"/>
            </w:tcBorders>
          </w:tcPr>
          <w:p>
            <w:pPr>
              <w:pStyle w:val="9"/>
              <w:widowControl/>
              <w:spacing w:before="0" w:beforeAutospacing="0" w:after="0" w:afterAutospacing="0" w:line="405" w:lineRule="atLeast"/>
              <w:jc w:val="both"/>
              <w:rPr>
                <w:rFonts w:ascii="Times New Roman" w:hAnsi="Times New Roman" w:eastAsia="仿宋_GB2312"/>
                <w:sz w:val="22"/>
              </w:rPr>
            </w:pPr>
            <w:r>
              <w:rPr>
                <w:rFonts w:hint="eastAsia" w:ascii="Times New Roman" w:hAnsi="Times New Roman" w:eastAsia="仿宋_GB2312"/>
                <w:sz w:val="22"/>
              </w:rPr>
              <w:t xml:space="preserve"> 14（其中轿车2辆，其他车型12辆）</w:t>
            </w:r>
          </w:p>
        </w:tc>
        <w:tc>
          <w:tcPr>
            <w:tcW w:w="5103" w:type="dxa"/>
            <w:tcBorders>
              <w:top w:val="nil"/>
              <w:left w:val="nil"/>
              <w:bottom w:val="single" w:color="auto" w:sz="4" w:space="0"/>
              <w:right w:val="single" w:color="auto" w:sz="4" w:space="0"/>
            </w:tcBorders>
            <w:vAlign w:val="center"/>
          </w:tcPr>
          <w:p>
            <w:pPr>
              <w:spacing w:line="584" w:lineRule="exact"/>
              <w:jc w:val="center"/>
              <w:rPr>
                <w:rFonts w:hint="eastAsia" w:ascii="Times New Roman" w:hAnsi="Times New Roman" w:eastAsia="仿宋_GB2312"/>
                <w:sz w:val="22"/>
              </w:rPr>
            </w:pPr>
            <w:r>
              <w:rPr>
                <w:rFonts w:hint="eastAsia" w:ascii="Times New Roman" w:hAnsi="Times New Roman" w:eastAsia="仿宋_GB2312"/>
                <w:sz w:val="22"/>
              </w:rPr>
              <w:t xml:space="preserve">97.22                 </w:t>
            </w:r>
          </w:p>
          <w:p>
            <w:pPr>
              <w:spacing w:line="584" w:lineRule="exact"/>
              <w:jc w:val="center"/>
              <w:rPr>
                <w:rFonts w:ascii="Times New Roman" w:hAnsi="Times New Roman" w:eastAsia="仿宋_GB2312"/>
                <w:sz w:val="22"/>
              </w:rPr>
            </w:pP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ascii="Times New Roman" w:hAnsi="Times New Roman" w:eastAsia="仿宋_GB2312"/>
                <w:kern w:val="0"/>
                <w:sz w:val="22"/>
              </w:rPr>
              <w:t>3</w:t>
            </w:r>
            <w:r>
              <w:rPr>
                <w:rFonts w:hint="eastAsia" w:ascii="Times New Roman" w:hAnsi="Times New Roman" w:eastAsia="仿宋_GB2312"/>
                <w:kern w:val="0"/>
                <w:sz w:val="22"/>
              </w:rPr>
              <w:t>、单价在</w:t>
            </w:r>
            <w:r>
              <w:rPr>
                <w:rFonts w:ascii="Times New Roman" w:hAnsi="Times New Roman" w:eastAsia="仿宋_GB2312"/>
                <w:kern w:val="0"/>
                <w:sz w:val="22"/>
              </w:rPr>
              <w:t>20</w:t>
            </w:r>
            <w:r>
              <w:rPr>
                <w:rFonts w:hint="eastAsia" w:ascii="Times New Roman" w:hAnsi="Times New Roman" w:eastAsia="仿宋_GB2312"/>
                <w:kern w:val="0"/>
                <w:sz w:val="22"/>
              </w:rPr>
              <w:t>万元以上的设备</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ascii="Times New Roman" w:hAnsi="Times New Roman" w:eastAsia="仿宋_GB2312"/>
                <w:kern w:val="0"/>
                <w:sz w:val="22"/>
              </w:rPr>
              <w:t>4</w:t>
            </w:r>
            <w:r>
              <w:rPr>
                <w:rFonts w:hint="eastAsia" w:ascii="Times New Roman" w:hAnsi="Times New Roman" w:eastAsia="仿宋_GB2312"/>
                <w:kern w:val="0"/>
                <w:sz w:val="22"/>
              </w:rPr>
              <w:t>、其他固定资产</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p>
        </w:tc>
      </w:tr>
    </w:tbl>
    <w:p>
      <w:pPr>
        <w:autoSpaceDE w:val="0"/>
        <w:autoSpaceDN w:val="0"/>
        <w:adjustRightInd w:val="0"/>
        <w:spacing w:line="584" w:lineRule="exact"/>
        <w:ind w:firstLine="640" w:firstLineChars="200"/>
        <w:jc w:val="left"/>
        <w:rPr>
          <w:rFonts w:hint="eastAsia" w:ascii="Times New Roman" w:hAnsi="黑体" w:eastAsia="黑体"/>
          <w:sz w:val="32"/>
          <w:szCs w:val="32"/>
        </w:r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八、名词解释</w:t>
      </w:r>
      <w:bookmarkStart w:id="11" w:name="_GoBack"/>
      <w:bookmarkEnd w:id="11"/>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、一般公共预算拨款收入：</w:t>
      </w:r>
      <w:r>
        <w:rPr>
          <w:rFonts w:hint="eastAsia" w:ascii="Times New Roman" w:hAnsi="Times New Roman" w:eastAsia="仿宋_GB2312"/>
          <w:sz w:val="32"/>
          <w:szCs w:val="32"/>
        </w:rPr>
        <w:t>指省级财政当年拨付的资金。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、事业收入：</w:t>
      </w:r>
      <w:r>
        <w:rPr>
          <w:rFonts w:hint="eastAsia" w:ascii="Times New Roman" w:hAnsi="Times New Roman" w:eastAsia="仿宋_GB2312"/>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、其他收入：</w:t>
      </w:r>
      <w:r>
        <w:rPr>
          <w:rFonts w:hint="eastAsia" w:ascii="Times New Roman" w:hAnsi="Times New Roman" w:eastAsia="仿宋_GB2312"/>
          <w:sz w:val="32"/>
          <w:szCs w:val="32"/>
        </w:rPr>
        <w:t>指除</w:t>
      </w:r>
      <w:r>
        <w:rPr>
          <w:rFonts w:ascii="Times New Roman" w:hAnsi="Times New Roman" w:eastAsia="仿宋_GB2312"/>
          <w:sz w:val="32"/>
          <w:szCs w:val="32"/>
        </w:rPr>
        <w:t>“</w:t>
      </w:r>
      <w:r>
        <w:rPr>
          <w:rFonts w:hint="eastAsia" w:ascii="Times New Roman" w:hAnsi="Times New Roman" w:eastAsia="仿宋_GB2312"/>
          <w:sz w:val="32"/>
          <w:szCs w:val="32"/>
        </w:rPr>
        <w:t>一般公共预算拨款收入</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事业收入</w:t>
      </w:r>
      <w:r>
        <w:rPr>
          <w:rFonts w:ascii="Times New Roman" w:hAnsi="Times New Roman" w:eastAsia="仿宋_GB2312"/>
          <w:sz w:val="32"/>
          <w:szCs w:val="32"/>
        </w:rPr>
        <w:t>”</w:t>
      </w:r>
      <w:r>
        <w:rPr>
          <w:rFonts w:hint="eastAsia" w:ascii="Times New Roman" w:hAnsi="Times New Roman" w:eastAsia="仿宋_GB2312"/>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、基本支出：</w:t>
      </w:r>
      <w:r>
        <w:rPr>
          <w:rFonts w:hint="eastAsia" w:ascii="Times New Roman" w:hAnsi="Times New Roman" w:eastAsia="仿宋_GB2312"/>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5</w:t>
      </w:r>
      <w:r>
        <w:rPr>
          <w:rFonts w:hint="eastAsia" w:ascii="Times New Roman" w:hAnsi="Times New Roman" w:eastAsia="仿宋_GB2312"/>
          <w:b/>
          <w:sz w:val="32"/>
          <w:szCs w:val="32"/>
        </w:rPr>
        <w:t>、项目支出：</w:t>
      </w:r>
      <w:r>
        <w:rPr>
          <w:rFonts w:hint="eastAsia" w:ascii="Times New Roman" w:hAnsi="Times New Roman" w:eastAsia="仿宋_GB2312"/>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6</w:t>
      </w:r>
      <w:r>
        <w:rPr>
          <w:rFonts w:hint="eastAsia" w:ascii="Times New Roman" w:hAnsi="Times New Roman" w:eastAsia="仿宋_GB2312"/>
          <w:b/>
          <w:sz w:val="32"/>
          <w:szCs w:val="32"/>
        </w:rPr>
        <w:t>、上缴上级支出：</w:t>
      </w:r>
      <w:r>
        <w:rPr>
          <w:rFonts w:hint="eastAsia" w:ascii="Times New Roman" w:hAnsi="Times New Roman" w:eastAsia="仿宋_GB2312"/>
          <w:sz w:val="32"/>
          <w:szCs w:val="32"/>
        </w:rPr>
        <w:t>指下级单位上缴上级的支出。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7</w:t>
      </w:r>
      <w:r>
        <w:rPr>
          <w:rFonts w:hint="eastAsia" w:ascii="Times New Roman" w:hAnsi="Times New Roman" w:eastAsia="仿宋_GB2312"/>
          <w:b/>
          <w:sz w:val="32"/>
          <w:szCs w:val="32"/>
        </w:rPr>
        <w:t>、</w:t>
      </w:r>
      <w:r>
        <w:rPr>
          <w:rFonts w:ascii="Times New Roman" w:hAnsi="Times New Roman" w:eastAsia="仿宋_GB2312"/>
          <w:b/>
          <w:sz w:val="32"/>
          <w:szCs w:val="32"/>
        </w:rPr>
        <w:t>“</w:t>
      </w:r>
      <w:r>
        <w:rPr>
          <w:rFonts w:hint="eastAsia" w:ascii="Times New Roman" w:hAnsi="Times New Roman" w:eastAsia="仿宋_GB2312"/>
          <w:b/>
          <w:sz w:val="32"/>
          <w:szCs w:val="32"/>
        </w:rPr>
        <w:t>三公</w:t>
      </w:r>
      <w:r>
        <w:rPr>
          <w:rFonts w:ascii="Times New Roman" w:hAnsi="Times New Roman" w:eastAsia="仿宋_GB2312"/>
          <w:b/>
          <w:sz w:val="32"/>
          <w:szCs w:val="32"/>
        </w:rPr>
        <w:t>”</w:t>
      </w:r>
      <w:r>
        <w:rPr>
          <w:rFonts w:hint="eastAsia" w:ascii="Times New Roman" w:hAnsi="Times New Roman" w:eastAsia="仿宋_GB2312"/>
          <w:b/>
          <w:sz w:val="32"/>
          <w:szCs w:val="32"/>
        </w:rPr>
        <w:t>经费：</w:t>
      </w:r>
      <w:r>
        <w:rPr>
          <w:rFonts w:hint="eastAsia" w:ascii="Times New Roman" w:hAnsi="Times New Roman" w:eastAsia="仿宋_GB2312"/>
          <w:sz w:val="32"/>
          <w:szCs w:val="32"/>
        </w:rPr>
        <w:t>纳入省级财政预算管理的</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8</w:t>
      </w:r>
      <w:r>
        <w:rPr>
          <w:rFonts w:hint="eastAsia" w:ascii="Times New Roman" w:hAnsi="Times New Roman" w:eastAsia="仿宋_GB2312"/>
          <w:b/>
          <w:sz w:val="32"/>
          <w:szCs w:val="32"/>
        </w:rPr>
        <w:t>、机关运行费：</w:t>
      </w:r>
      <w:r>
        <w:rPr>
          <w:rFonts w:hint="eastAsia" w:ascii="Times New Roman"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9</w:t>
      </w:r>
      <w:r>
        <w:rPr>
          <w:rFonts w:hint="eastAsia" w:ascii="Times New Roman" w:hAnsi="Times New Roman" w:eastAsia="仿宋_GB2312"/>
          <w:b/>
          <w:sz w:val="32"/>
          <w:szCs w:val="32"/>
        </w:rPr>
        <w:t>、上年结转：</w:t>
      </w:r>
      <w:r>
        <w:rPr>
          <w:rFonts w:hint="eastAsia" w:ascii="Times New Roman" w:hAnsi="Times New Roman" w:eastAsia="仿宋_GB2312"/>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10</w:t>
      </w:r>
      <w:r>
        <w:rPr>
          <w:rFonts w:hint="eastAsia" w:ascii="Times New Roman" w:hAnsi="Times New Roman" w:eastAsia="仿宋_GB2312"/>
          <w:b/>
          <w:sz w:val="32"/>
          <w:szCs w:val="32"/>
        </w:rPr>
        <w:t>、事业单位经营支出：</w:t>
      </w:r>
      <w:r>
        <w:rPr>
          <w:rFonts w:hint="eastAsia" w:ascii="Times New Roman" w:hAnsi="Times New Roman" w:eastAsia="仿宋_GB2312"/>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九、其他需要说明的事项</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我部门无其他需要说明的事项。</w:t>
      </w:r>
    </w:p>
    <w:p>
      <w:pPr>
        <w:spacing w:line="584" w:lineRule="exact"/>
        <w:rPr>
          <w:rFonts w:ascii="Times New Roman" w:hAnsi="Times New Roman" w:eastAsia="仿宋_GB2312"/>
          <w:sz w:val="32"/>
          <w:szCs w:val="32"/>
        </w:rPr>
      </w:pPr>
    </w:p>
    <w:p>
      <w:pPr>
        <w:spacing w:line="584" w:lineRule="exact"/>
        <w:ind w:firstLine="643" w:firstLineChars="200"/>
        <w:rPr>
          <w:rFonts w:ascii="Times New Roman" w:hAnsi="Times New Roman" w:eastAsia="仿宋_GB2312"/>
          <w:b/>
          <w:color w:val="FF0000"/>
          <w:sz w:val="32"/>
          <w:szCs w:val="32"/>
        </w:rPr>
      </w:pPr>
    </w:p>
    <w:p>
      <w:pPr>
        <w:spacing w:line="584" w:lineRule="exact"/>
        <w:ind w:firstLine="643" w:firstLineChars="200"/>
        <w:rPr>
          <w:rFonts w:ascii="Times New Roman" w:hAnsi="Times New Roman" w:eastAsia="仿宋_GB2312"/>
          <w:b/>
          <w:color w:val="FF0000"/>
          <w:sz w:val="32"/>
          <w:szCs w:val="32"/>
        </w:rPr>
      </w:pPr>
    </w:p>
    <w:sectPr>
      <w:pgSz w:w="16838" w:h="11906" w:orient="landscape"/>
      <w:pgMar w:top="1800" w:right="1440" w:bottom="1800" w:left="144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仿宋">
    <w:altName w:val="微软雅黑"/>
    <w:panose1 w:val="02010609060101010101"/>
    <w:charset w:val="86"/>
    <w:family w:val="modern"/>
    <w:pitch w:val="default"/>
    <w:sig w:usb0="00000000" w:usb1="00000000" w:usb2="00000016"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21 -</w: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E22F24"/>
    <w:multiLevelType w:val="multilevel"/>
    <w:tmpl w:val="75E22F24"/>
    <w:lvl w:ilvl="0" w:tentative="0">
      <w:start w:val="5"/>
      <w:numFmt w:val="japaneseCounting"/>
      <w:lvlText w:val="%1、"/>
      <w:lvlJc w:val="left"/>
      <w:pPr>
        <w:tabs>
          <w:tab w:val="left" w:pos="1520"/>
        </w:tabs>
        <w:ind w:left="1520" w:hanging="720"/>
      </w:pPr>
      <w:rPr>
        <w:rFonts w:hint="default" w:cs="Times New Roman"/>
      </w:rPr>
    </w:lvl>
    <w:lvl w:ilvl="1" w:tentative="0">
      <w:start w:val="1"/>
      <w:numFmt w:val="lowerLetter"/>
      <w:lvlText w:val="%2)"/>
      <w:lvlJc w:val="left"/>
      <w:pPr>
        <w:tabs>
          <w:tab w:val="left" w:pos="1640"/>
        </w:tabs>
        <w:ind w:left="1640" w:hanging="420"/>
      </w:pPr>
      <w:rPr>
        <w:rFonts w:cs="Times New Roman"/>
      </w:rPr>
    </w:lvl>
    <w:lvl w:ilvl="2" w:tentative="0">
      <w:start w:val="1"/>
      <w:numFmt w:val="lowerRoman"/>
      <w:lvlText w:val="%3."/>
      <w:lvlJc w:val="right"/>
      <w:pPr>
        <w:tabs>
          <w:tab w:val="left" w:pos="2060"/>
        </w:tabs>
        <w:ind w:left="2060" w:hanging="420"/>
      </w:pPr>
      <w:rPr>
        <w:rFonts w:cs="Times New Roman"/>
      </w:rPr>
    </w:lvl>
    <w:lvl w:ilvl="3" w:tentative="0">
      <w:start w:val="1"/>
      <w:numFmt w:val="decimal"/>
      <w:lvlText w:val="%4."/>
      <w:lvlJc w:val="left"/>
      <w:pPr>
        <w:tabs>
          <w:tab w:val="left" w:pos="2480"/>
        </w:tabs>
        <w:ind w:left="2480" w:hanging="420"/>
      </w:pPr>
      <w:rPr>
        <w:rFonts w:cs="Times New Roman"/>
      </w:rPr>
    </w:lvl>
    <w:lvl w:ilvl="4" w:tentative="0">
      <w:start w:val="1"/>
      <w:numFmt w:val="lowerLetter"/>
      <w:lvlText w:val="%5)"/>
      <w:lvlJc w:val="left"/>
      <w:pPr>
        <w:tabs>
          <w:tab w:val="left" w:pos="2900"/>
        </w:tabs>
        <w:ind w:left="2900" w:hanging="420"/>
      </w:pPr>
      <w:rPr>
        <w:rFonts w:cs="Times New Roman"/>
      </w:rPr>
    </w:lvl>
    <w:lvl w:ilvl="5" w:tentative="0">
      <w:start w:val="1"/>
      <w:numFmt w:val="lowerRoman"/>
      <w:lvlText w:val="%6."/>
      <w:lvlJc w:val="right"/>
      <w:pPr>
        <w:tabs>
          <w:tab w:val="left" w:pos="3320"/>
        </w:tabs>
        <w:ind w:left="3320" w:hanging="420"/>
      </w:pPr>
      <w:rPr>
        <w:rFonts w:cs="Times New Roman"/>
      </w:rPr>
    </w:lvl>
    <w:lvl w:ilvl="6" w:tentative="0">
      <w:start w:val="1"/>
      <w:numFmt w:val="decimal"/>
      <w:lvlText w:val="%7."/>
      <w:lvlJc w:val="left"/>
      <w:pPr>
        <w:tabs>
          <w:tab w:val="left" w:pos="3740"/>
        </w:tabs>
        <w:ind w:left="3740" w:hanging="420"/>
      </w:pPr>
      <w:rPr>
        <w:rFonts w:cs="Times New Roman"/>
      </w:rPr>
    </w:lvl>
    <w:lvl w:ilvl="7" w:tentative="0">
      <w:start w:val="1"/>
      <w:numFmt w:val="lowerLetter"/>
      <w:lvlText w:val="%8)"/>
      <w:lvlJc w:val="left"/>
      <w:pPr>
        <w:tabs>
          <w:tab w:val="left" w:pos="4160"/>
        </w:tabs>
        <w:ind w:left="4160" w:hanging="420"/>
      </w:pPr>
      <w:rPr>
        <w:rFonts w:cs="Times New Roman"/>
      </w:rPr>
    </w:lvl>
    <w:lvl w:ilvl="8" w:tentative="0">
      <w:start w:val="1"/>
      <w:numFmt w:val="lowerRoman"/>
      <w:lvlText w:val="%9."/>
      <w:lvlJc w:val="right"/>
      <w:pPr>
        <w:tabs>
          <w:tab w:val="left" w:pos="4580"/>
        </w:tabs>
        <w:ind w:left="45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053CC"/>
    <w:rsid w:val="00005DD8"/>
    <w:rsid w:val="00007292"/>
    <w:rsid w:val="00007A31"/>
    <w:rsid w:val="0003697D"/>
    <w:rsid w:val="00037AF6"/>
    <w:rsid w:val="0004565F"/>
    <w:rsid w:val="00072187"/>
    <w:rsid w:val="00075D5F"/>
    <w:rsid w:val="0008180F"/>
    <w:rsid w:val="00082B29"/>
    <w:rsid w:val="00093DA3"/>
    <w:rsid w:val="000A2137"/>
    <w:rsid w:val="000B529B"/>
    <w:rsid w:val="000C2338"/>
    <w:rsid w:val="000C24E6"/>
    <w:rsid w:val="000C3A19"/>
    <w:rsid w:val="000E4305"/>
    <w:rsid w:val="000E4B1A"/>
    <w:rsid w:val="000F0D09"/>
    <w:rsid w:val="00123A3A"/>
    <w:rsid w:val="001245BB"/>
    <w:rsid w:val="001251A3"/>
    <w:rsid w:val="00143193"/>
    <w:rsid w:val="00160266"/>
    <w:rsid w:val="001643E8"/>
    <w:rsid w:val="00164641"/>
    <w:rsid w:val="00164B40"/>
    <w:rsid w:val="00176C13"/>
    <w:rsid w:val="00183D1E"/>
    <w:rsid w:val="001919C4"/>
    <w:rsid w:val="0019723B"/>
    <w:rsid w:val="001A0943"/>
    <w:rsid w:val="001A21CC"/>
    <w:rsid w:val="001A3D44"/>
    <w:rsid w:val="001B5C1D"/>
    <w:rsid w:val="001C2576"/>
    <w:rsid w:val="001C2B2C"/>
    <w:rsid w:val="001D42E8"/>
    <w:rsid w:val="001E0757"/>
    <w:rsid w:val="001E5749"/>
    <w:rsid w:val="001E6DDC"/>
    <w:rsid w:val="001E70E9"/>
    <w:rsid w:val="001F5C92"/>
    <w:rsid w:val="001F7873"/>
    <w:rsid w:val="00204F37"/>
    <w:rsid w:val="0022607B"/>
    <w:rsid w:val="00230E48"/>
    <w:rsid w:val="00241FD4"/>
    <w:rsid w:val="00246317"/>
    <w:rsid w:val="00251B12"/>
    <w:rsid w:val="00265318"/>
    <w:rsid w:val="002713A3"/>
    <w:rsid w:val="0027566D"/>
    <w:rsid w:val="00277452"/>
    <w:rsid w:val="002835D7"/>
    <w:rsid w:val="00290FD6"/>
    <w:rsid w:val="0029588E"/>
    <w:rsid w:val="00296113"/>
    <w:rsid w:val="002A673A"/>
    <w:rsid w:val="002C29A3"/>
    <w:rsid w:val="002C5E13"/>
    <w:rsid w:val="002C62BC"/>
    <w:rsid w:val="002E0EB8"/>
    <w:rsid w:val="002F3A53"/>
    <w:rsid w:val="002F3E58"/>
    <w:rsid w:val="0030542C"/>
    <w:rsid w:val="003075D4"/>
    <w:rsid w:val="00311B7A"/>
    <w:rsid w:val="003126B6"/>
    <w:rsid w:val="00313D9C"/>
    <w:rsid w:val="00314231"/>
    <w:rsid w:val="00325215"/>
    <w:rsid w:val="00325861"/>
    <w:rsid w:val="0033339C"/>
    <w:rsid w:val="003442A2"/>
    <w:rsid w:val="0036386B"/>
    <w:rsid w:val="00371FDA"/>
    <w:rsid w:val="00377D7A"/>
    <w:rsid w:val="0039520A"/>
    <w:rsid w:val="003A6ED3"/>
    <w:rsid w:val="003B6D37"/>
    <w:rsid w:val="003D2E03"/>
    <w:rsid w:val="00424943"/>
    <w:rsid w:val="0042727E"/>
    <w:rsid w:val="0043175C"/>
    <w:rsid w:val="00437296"/>
    <w:rsid w:val="00451590"/>
    <w:rsid w:val="00451871"/>
    <w:rsid w:val="004706DE"/>
    <w:rsid w:val="00472923"/>
    <w:rsid w:val="00486DCD"/>
    <w:rsid w:val="0049120C"/>
    <w:rsid w:val="004B0C3A"/>
    <w:rsid w:val="004B12F3"/>
    <w:rsid w:val="004B3DA1"/>
    <w:rsid w:val="004B45C1"/>
    <w:rsid w:val="004C49A8"/>
    <w:rsid w:val="004D0AD1"/>
    <w:rsid w:val="004D5788"/>
    <w:rsid w:val="004E3066"/>
    <w:rsid w:val="004E419C"/>
    <w:rsid w:val="004E74CD"/>
    <w:rsid w:val="00517C46"/>
    <w:rsid w:val="00524EFD"/>
    <w:rsid w:val="00527CD9"/>
    <w:rsid w:val="00542866"/>
    <w:rsid w:val="00572067"/>
    <w:rsid w:val="00573562"/>
    <w:rsid w:val="0057546C"/>
    <w:rsid w:val="00590ECE"/>
    <w:rsid w:val="005B041A"/>
    <w:rsid w:val="005B3671"/>
    <w:rsid w:val="005C0E90"/>
    <w:rsid w:val="005D37CA"/>
    <w:rsid w:val="005D5683"/>
    <w:rsid w:val="005F1499"/>
    <w:rsid w:val="005F5714"/>
    <w:rsid w:val="005F7AE1"/>
    <w:rsid w:val="00611D03"/>
    <w:rsid w:val="00614A29"/>
    <w:rsid w:val="00623770"/>
    <w:rsid w:val="00651BA2"/>
    <w:rsid w:val="00673D76"/>
    <w:rsid w:val="006750E7"/>
    <w:rsid w:val="00677AC3"/>
    <w:rsid w:val="006854F0"/>
    <w:rsid w:val="006B1C4A"/>
    <w:rsid w:val="006B610D"/>
    <w:rsid w:val="006C0BA1"/>
    <w:rsid w:val="006C3E06"/>
    <w:rsid w:val="006E49F5"/>
    <w:rsid w:val="006E7C7E"/>
    <w:rsid w:val="006F66C9"/>
    <w:rsid w:val="006F74B7"/>
    <w:rsid w:val="007013C8"/>
    <w:rsid w:val="00716BFB"/>
    <w:rsid w:val="00727C84"/>
    <w:rsid w:val="0074338E"/>
    <w:rsid w:val="00753836"/>
    <w:rsid w:val="0075393C"/>
    <w:rsid w:val="00754592"/>
    <w:rsid w:val="00757F42"/>
    <w:rsid w:val="00776C08"/>
    <w:rsid w:val="00785B0E"/>
    <w:rsid w:val="007B0400"/>
    <w:rsid w:val="007B49AA"/>
    <w:rsid w:val="007C219A"/>
    <w:rsid w:val="007E1C99"/>
    <w:rsid w:val="007E1DA8"/>
    <w:rsid w:val="007E5EC5"/>
    <w:rsid w:val="007F1335"/>
    <w:rsid w:val="007F6C26"/>
    <w:rsid w:val="00800F72"/>
    <w:rsid w:val="00806294"/>
    <w:rsid w:val="00811795"/>
    <w:rsid w:val="00813208"/>
    <w:rsid w:val="00815157"/>
    <w:rsid w:val="00815F8F"/>
    <w:rsid w:val="008219E1"/>
    <w:rsid w:val="00821E17"/>
    <w:rsid w:val="0083348E"/>
    <w:rsid w:val="008334AE"/>
    <w:rsid w:val="00835573"/>
    <w:rsid w:val="00836FED"/>
    <w:rsid w:val="0083724E"/>
    <w:rsid w:val="00841D53"/>
    <w:rsid w:val="00845CD2"/>
    <w:rsid w:val="00852B0D"/>
    <w:rsid w:val="0085425A"/>
    <w:rsid w:val="008575E3"/>
    <w:rsid w:val="00864B7F"/>
    <w:rsid w:val="00881692"/>
    <w:rsid w:val="008858FF"/>
    <w:rsid w:val="0089075B"/>
    <w:rsid w:val="008950F0"/>
    <w:rsid w:val="008A6576"/>
    <w:rsid w:val="008A6D3B"/>
    <w:rsid w:val="008B3CC5"/>
    <w:rsid w:val="008B52CD"/>
    <w:rsid w:val="008C4AAE"/>
    <w:rsid w:val="008C7C4D"/>
    <w:rsid w:val="008D752F"/>
    <w:rsid w:val="008E05CF"/>
    <w:rsid w:val="008E0AD8"/>
    <w:rsid w:val="008E4261"/>
    <w:rsid w:val="008E70D4"/>
    <w:rsid w:val="008F4662"/>
    <w:rsid w:val="0090563F"/>
    <w:rsid w:val="00905D08"/>
    <w:rsid w:val="009161E4"/>
    <w:rsid w:val="00920F22"/>
    <w:rsid w:val="00923F0E"/>
    <w:rsid w:val="00925753"/>
    <w:rsid w:val="00932F6D"/>
    <w:rsid w:val="00936DDD"/>
    <w:rsid w:val="00937F8B"/>
    <w:rsid w:val="009425F4"/>
    <w:rsid w:val="00943BD8"/>
    <w:rsid w:val="009458A2"/>
    <w:rsid w:val="00954B2C"/>
    <w:rsid w:val="0096626E"/>
    <w:rsid w:val="009664AA"/>
    <w:rsid w:val="00966C5C"/>
    <w:rsid w:val="00973104"/>
    <w:rsid w:val="009842F6"/>
    <w:rsid w:val="00995BF0"/>
    <w:rsid w:val="00996A14"/>
    <w:rsid w:val="009A16D5"/>
    <w:rsid w:val="009A353D"/>
    <w:rsid w:val="009B0B77"/>
    <w:rsid w:val="009B511E"/>
    <w:rsid w:val="009B5215"/>
    <w:rsid w:val="009C6C86"/>
    <w:rsid w:val="009D37D3"/>
    <w:rsid w:val="009E459E"/>
    <w:rsid w:val="00A16E6C"/>
    <w:rsid w:val="00A40F60"/>
    <w:rsid w:val="00A44E3D"/>
    <w:rsid w:val="00A72D2E"/>
    <w:rsid w:val="00A74447"/>
    <w:rsid w:val="00A74CE5"/>
    <w:rsid w:val="00A77500"/>
    <w:rsid w:val="00A84144"/>
    <w:rsid w:val="00A8536F"/>
    <w:rsid w:val="00A911E7"/>
    <w:rsid w:val="00A92170"/>
    <w:rsid w:val="00A939D9"/>
    <w:rsid w:val="00AB77AA"/>
    <w:rsid w:val="00AC1794"/>
    <w:rsid w:val="00AC4748"/>
    <w:rsid w:val="00AD5259"/>
    <w:rsid w:val="00AE1A02"/>
    <w:rsid w:val="00B01D36"/>
    <w:rsid w:val="00B078CD"/>
    <w:rsid w:val="00B20712"/>
    <w:rsid w:val="00B43238"/>
    <w:rsid w:val="00B45DD3"/>
    <w:rsid w:val="00B54B90"/>
    <w:rsid w:val="00B64FA8"/>
    <w:rsid w:val="00B73582"/>
    <w:rsid w:val="00B75216"/>
    <w:rsid w:val="00B755A2"/>
    <w:rsid w:val="00B75C1E"/>
    <w:rsid w:val="00B9104C"/>
    <w:rsid w:val="00B91D52"/>
    <w:rsid w:val="00B9490F"/>
    <w:rsid w:val="00B96C57"/>
    <w:rsid w:val="00BA0016"/>
    <w:rsid w:val="00BA1ACD"/>
    <w:rsid w:val="00BD09F8"/>
    <w:rsid w:val="00BD7278"/>
    <w:rsid w:val="00BE6A1C"/>
    <w:rsid w:val="00C005B2"/>
    <w:rsid w:val="00C1565C"/>
    <w:rsid w:val="00C21E0F"/>
    <w:rsid w:val="00C27205"/>
    <w:rsid w:val="00C362CA"/>
    <w:rsid w:val="00C56BB2"/>
    <w:rsid w:val="00C72BC0"/>
    <w:rsid w:val="00C772C1"/>
    <w:rsid w:val="00C77976"/>
    <w:rsid w:val="00CA7176"/>
    <w:rsid w:val="00CC13FA"/>
    <w:rsid w:val="00CC75B0"/>
    <w:rsid w:val="00CD2773"/>
    <w:rsid w:val="00CD3C04"/>
    <w:rsid w:val="00CE01BA"/>
    <w:rsid w:val="00CE143B"/>
    <w:rsid w:val="00CE3A91"/>
    <w:rsid w:val="00D07DBA"/>
    <w:rsid w:val="00D23C16"/>
    <w:rsid w:val="00D27003"/>
    <w:rsid w:val="00D30617"/>
    <w:rsid w:val="00D324AD"/>
    <w:rsid w:val="00D462EF"/>
    <w:rsid w:val="00D86ED8"/>
    <w:rsid w:val="00D926D0"/>
    <w:rsid w:val="00D9307A"/>
    <w:rsid w:val="00DB08DA"/>
    <w:rsid w:val="00DB4322"/>
    <w:rsid w:val="00DD1D0C"/>
    <w:rsid w:val="00DD62E6"/>
    <w:rsid w:val="00DE186D"/>
    <w:rsid w:val="00DE4AC2"/>
    <w:rsid w:val="00E12A2B"/>
    <w:rsid w:val="00E167C7"/>
    <w:rsid w:val="00E419DD"/>
    <w:rsid w:val="00E55B78"/>
    <w:rsid w:val="00E76361"/>
    <w:rsid w:val="00E84020"/>
    <w:rsid w:val="00EA66AF"/>
    <w:rsid w:val="00EB53A2"/>
    <w:rsid w:val="00EB7A80"/>
    <w:rsid w:val="00EC47F6"/>
    <w:rsid w:val="00EC797B"/>
    <w:rsid w:val="00ED0C47"/>
    <w:rsid w:val="00EE6D6D"/>
    <w:rsid w:val="00EF08C9"/>
    <w:rsid w:val="00EF535E"/>
    <w:rsid w:val="00F10A48"/>
    <w:rsid w:val="00F139DC"/>
    <w:rsid w:val="00F22ECF"/>
    <w:rsid w:val="00F36922"/>
    <w:rsid w:val="00F471F7"/>
    <w:rsid w:val="00F66032"/>
    <w:rsid w:val="00F72DE3"/>
    <w:rsid w:val="00F83B96"/>
    <w:rsid w:val="00F8441D"/>
    <w:rsid w:val="00F87C1E"/>
    <w:rsid w:val="00F958C2"/>
    <w:rsid w:val="00FA6FE9"/>
    <w:rsid w:val="00FA740E"/>
    <w:rsid w:val="00FB4971"/>
    <w:rsid w:val="00FC06C7"/>
    <w:rsid w:val="00FD5DB4"/>
    <w:rsid w:val="00FE1724"/>
    <w:rsid w:val="00FE753C"/>
    <w:rsid w:val="00FF0CD3"/>
    <w:rsid w:val="00FF2162"/>
    <w:rsid w:val="00FF2346"/>
    <w:rsid w:val="144E1DA3"/>
    <w:rsid w:val="224E60F5"/>
    <w:rsid w:val="28A206B5"/>
    <w:rsid w:val="2A007120"/>
    <w:rsid w:val="434F6099"/>
    <w:rsid w:val="51940D73"/>
    <w:rsid w:val="55BB52D4"/>
    <w:rsid w:val="58323634"/>
    <w:rsid w:val="630F5830"/>
    <w:rsid w:val="6416242C"/>
    <w:rsid w:val="7CD205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uiPriority w:val="99"/>
    <w:pPr>
      <w:shd w:val="clear" w:color="auto" w:fill="000080"/>
    </w:pPr>
  </w:style>
  <w:style w:type="paragraph" w:styleId="3">
    <w:name w:val="Balloon Text"/>
    <w:basedOn w:val="1"/>
    <w:link w:val="16"/>
    <w:semiHidden/>
    <w:uiPriority w:val="99"/>
    <w:rPr>
      <w:sz w:val="18"/>
      <w:szCs w:val="18"/>
    </w:rPr>
  </w:style>
  <w:style w:type="paragraph" w:styleId="4">
    <w:name w:val="footer"/>
    <w:basedOn w:val="1"/>
    <w:link w:val="17"/>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8"/>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toc 1"/>
    <w:basedOn w:val="1"/>
    <w:next w:val="1"/>
    <w:uiPriority w:val="39"/>
    <w:rPr>
      <w:rFonts w:ascii="Times New Roman" w:hAnsi="Times New Roman"/>
      <w:szCs w:val="24"/>
    </w:rPr>
  </w:style>
  <w:style w:type="paragraph" w:styleId="7">
    <w:name w:val="footnote text"/>
    <w:basedOn w:val="1"/>
    <w:link w:val="19"/>
    <w:semiHidden/>
    <w:uiPriority w:val="99"/>
    <w:pPr>
      <w:snapToGrid w:val="0"/>
      <w:jc w:val="left"/>
    </w:pPr>
    <w:rPr>
      <w:sz w:val="18"/>
      <w:szCs w:val="18"/>
    </w:rPr>
  </w:style>
  <w:style w:type="paragraph" w:styleId="8">
    <w:name w:val="toc 2"/>
    <w:basedOn w:val="1"/>
    <w:next w:val="1"/>
    <w:uiPriority w:val="99"/>
    <w:pPr>
      <w:ind w:left="420" w:leftChars="200"/>
    </w:pPr>
    <w:rPr>
      <w:rFonts w:ascii="Times New Roman" w:hAnsi="Times New Roman"/>
      <w:szCs w:val="24"/>
    </w:rPr>
  </w:style>
  <w:style w:type="paragraph" w:styleId="9">
    <w:name w:val="Normal (Web)"/>
    <w:basedOn w:val="1"/>
    <w:uiPriority w:val="99"/>
    <w:pPr>
      <w:spacing w:before="100" w:beforeAutospacing="1" w:after="100" w:afterAutospacing="1"/>
      <w:jc w:val="left"/>
    </w:pPr>
    <w:rPr>
      <w:kern w:val="0"/>
      <w:sz w:val="24"/>
      <w:szCs w:val="20"/>
    </w:rPr>
  </w:style>
  <w:style w:type="character" w:styleId="12">
    <w:name w:val="page number"/>
    <w:basedOn w:val="11"/>
    <w:uiPriority w:val="99"/>
    <w:rPr>
      <w:rFonts w:cs="Times New Roman"/>
    </w:rPr>
  </w:style>
  <w:style w:type="character" w:styleId="13">
    <w:name w:val="Hyperlink"/>
    <w:basedOn w:val="11"/>
    <w:unhideWhenUsed/>
    <w:uiPriority w:val="99"/>
    <w:rPr>
      <w:color w:val="0000FF"/>
      <w:u w:val="single"/>
    </w:rPr>
  </w:style>
  <w:style w:type="character" w:styleId="14">
    <w:name w:val="footnote reference"/>
    <w:basedOn w:val="11"/>
    <w:semiHidden/>
    <w:uiPriority w:val="99"/>
    <w:rPr>
      <w:rFonts w:cs="Times New Roman"/>
      <w:vertAlign w:val="superscript"/>
    </w:rPr>
  </w:style>
  <w:style w:type="character" w:customStyle="1" w:styleId="15">
    <w:name w:val="文档结构图 Char"/>
    <w:basedOn w:val="11"/>
    <w:link w:val="2"/>
    <w:semiHidden/>
    <w:locked/>
    <w:uiPriority w:val="99"/>
    <w:rPr>
      <w:rFonts w:ascii="Times New Roman" w:hAnsi="Times New Roman" w:cs="Times New Roman"/>
      <w:sz w:val="2"/>
    </w:rPr>
  </w:style>
  <w:style w:type="character" w:customStyle="1" w:styleId="16">
    <w:name w:val="批注框文本 Char"/>
    <w:basedOn w:val="11"/>
    <w:link w:val="3"/>
    <w:semiHidden/>
    <w:locked/>
    <w:uiPriority w:val="99"/>
    <w:rPr>
      <w:rFonts w:cs="Times New Roman"/>
      <w:sz w:val="18"/>
      <w:szCs w:val="18"/>
    </w:rPr>
  </w:style>
  <w:style w:type="character" w:customStyle="1" w:styleId="17">
    <w:name w:val="页脚 Char"/>
    <w:basedOn w:val="11"/>
    <w:link w:val="4"/>
    <w:qFormat/>
    <w:locked/>
    <w:uiPriority w:val="99"/>
    <w:rPr>
      <w:rFonts w:ascii="Times New Roman" w:hAnsi="Times New Roman" w:eastAsia="宋体" w:cs="Times New Roman"/>
      <w:sz w:val="18"/>
      <w:szCs w:val="18"/>
    </w:rPr>
  </w:style>
  <w:style w:type="character" w:customStyle="1" w:styleId="18">
    <w:name w:val="页眉 Char"/>
    <w:basedOn w:val="11"/>
    <w:link w:val="5"/>
    <w:locked/>
    <w:uiPriority w:val="99"/>
    <w:rPr>
      <w:rFonts w:ascii="Times New Roman" w:hAnsi="Times New Roman" w:eastAsia="宋体" w:cs="Times New Roman"/>
      <w:sz w:val="18"/>
      <w:szCs w:val="18"/>
    </w:rPr>
  </w:style>
  <w:style w:type="character" w:customStyle="1" w:styleId="19">
    <w:name w:val="脚注文本 Char"/>
    <w:basedOn w:val="11"/>
    <w:link w:val="7"/>
    <w:semiHidden/>
    <w:locked/>
    <w:uiPriority w:val="99"/>
    <w:rPr>
      <w:rFonts w:ascii="Calibri" w:hAnsi="Calibri" w:eastAsia="宋体" w:cs="Times New Roman"/>
      <w:sz w:val="18"/>
      <w:szCs w:val="18"/>
    </w:rPr>
  </w:style>
  <w:style w:type="paragraph" w:customStyle="1" w:styleId="20">
    <w:name w:val="Defaul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B70C0D-3FE0-48BB-AC37-4E4438F24B3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1842</Words>
  <Characters>10500</Characters>
  <Lines>87</Lines>
  <Paragraphs>24</Paragraphs>
  <TotalTime>88</TotalTime>
  <ScaleCrop>false</ScaleCrop>
  <LinksUpToDate>false</LinksUpToDate>
  <CharactersWithSpaces>12318</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2020-02-24T02:18:00Z</dcterms:created>
  <dc:creator>guest</dc:creator>
  <cp:lastModifiedBy>Administrator</cp:lastModifiedBy>
  <cp:lastPrinted>2018-01-30T06:12:00Z</cp:lastPrinted>
  <dcterms:modified xsi:type="dcterms:W3CDTF">2020-02-25T03:18:08Z</dcterms:modified>
  <dc:title>部门预算公开9张表格导出：</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